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A83" w:rsidRDefault="0042058C" w:rsidP="00AC7BDA">
      <w:pPr>
        <w:widowControl w:val="0"/>
        <w:autoSpaceDE w:val="0"/>
        <w:autoSpaceDN w:val="0"/>
        <w:adjustRightInd w:val="0"/>
        <w:spacing w:after="0" w:line="240" w:lineRule="exact"/>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bookmarkStart w:id="0" w:name="_Toc532155971"/>
    </w:p>
    <w:p w:rsidR="00C11A83" w:rsidRDefault="00C11A83" w:rsidP="0042058C">
      <w:pPr>
        <w:widowControl w:val="0"/>
        <w:autoSpaceDE w:val="0"/>
        <w:autoSpaceDN w:val="0"/>
        <w:adjustRightInd w:val="0"/>
        <w:spacing w:after="0" w:line="240" w:lineRule="exact"/>
        <w:rPr>
          <w:rFonts w:ascii="Times New Roman" w:eastAsia="Times New Roman" w:hAnsi="Times New Roman" w:cs="Times New Roman"/>
          <w:sz w:val="28"/>
          <w:szCs w:val="28"/>
          <w:lang w:eastAsia="ru-RU"/>
        </w:rPr>
      </w:pPr>
    </w:p>
    <w:p w:rsidR="0042058C" w:rsidRPr="0042058C" w:rsidRDefault="0042058C" w:rsidP="00AC7BDA">
      <w:pPr>
        <w:widowControl w:val="0"/>
        <w:autoSpaceDE w:val="0"/>
        <w:autoSpaceDN w:val="0"/>
        <w:adjustRightInd w:val="0"/>
        <w:spacing w:after="0" w:line="240" w:lineRule="exact"/>
        <w:ind w:left="4820"/>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УТВЕРЖДЕН</w:t>
      </w:r>
    </w:p>
    <w:p w:rsidR="0042058C" w:rsidRPr="0042058C" w:rsidRDefault="0042058C" w:rsidP="00AC7BDA">
      <w:pPr>
        <w:widowControl w:val="0"/>
        <w:autoSpaceDE w:val="0"/>
        <w:autoSpaceDN w:val="0"/>
        <w:adjustRightInd w:val="0"/>
        <w:spacing w:after="0" w:line="240" w:lineRule="exact"/>
        <w:ind w:left="4820"/>
        <w:jc w:val="center"/>
        <w:rPr>
          <w:rFonts w:ascii="Times New Roman" w:eastAsia="Times New Roman" w:hAnsi="Times New Roman" w:cs="Times New Roman"/>
          <w:sz w:val="28"/>
          <w:szCs w:val="28"/>
          <w:lang w:eastAsia="ru-RU"/>
        </w:rPr>
      </w:pPr>
    </w:p>
    <w:p w:rsidR="00AC7BDA" w:rsidRDefault="0042058C"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решением Думы </w:t>
      </w:r>
    </w:p>
    <w:p w:rsidR="0042058C" w:rsidRPr="0042058C" w:rsidRDefault="0042058C"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w:t>
      </w:r>
      <w:r w:rsidR="00AC7BDA">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муниципального округа</w:t>
      </w:r>
    </w:p>
    <w:p w:rsidR="0042058C" w:rsidRPr="0042058C" w:rsidRDefault="0042058C"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Ставропольского края</w:t>
      </w:r>
    </w:p>
    <w:p w:rsidR="0042058C" w:rsidRPr="0042058C" w:rsidRDefault="0042058C"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AC7BDA"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w:t>
      </w:r>
      <w:r w:rsidR="0042058C" w:rsidRPr="0042058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15</w:t>
      </w:r>
      <w:proofErr w:type="gramEnd"/>
      <w:r w:rsidR="0042058C" w:rsidRPr="004205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февраля 2022 г.  </w:t>
      </w:r>
      <w:r w:rsidR="0042058C" w:rsidRPr="0042058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9</w:t>
      </w:r>
    </w:p>
    <w:p w:rsidR="0042058C" w:rsidRPr="0042058C" w:rsidRDefault="0042058C" w:rsidP="00AC7BDA">
      <w:pPr>
        <w:widowControl w:val="0"/>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b/>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b/>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b/>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ind w:left="354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42058C">
      <w:pPr>
        <w:widowControl w:val="0"/>
        <w:autoSpaceDE w:val="0"/>
        <w:autoSpaceDN w:val="0"/>
        <w:adjustRightInd w:val="0"/>
        <w:spacing w:after="0" w:line="240" w:lineRule="exact"/>
        <w:ind w:left="3540"/>
        <w:jc w:val="center"/>
        <w:outlineLvl w:val="1"/>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ind w:left="3540"/>
        <w:jc w:val="center"/>
        <w:outlineLvl w:val="1"/>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ind w:left="3540"/>
        <w:jc w:val="center"/>
        <w:outlineLvl w:val="1"/>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42058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ab/>
      </w: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42058C" w:rsidRPr="00AC7BDA" w:rsidRDefault="0042058C" w:rsidP="0042058C">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sidRPr="00AC7BDA">
        <w:rPr>
          <w:rFonts w:ascii="Times New Roman" w:eastAsia="Times New Roman" w:hAnsi="Times New Roman" w:cs="Times New Roman"/>
          <w:b/>
          <w:sz w:val="36"/>
          <w:szCs w:val="36"/>
          <w:lang w:eastAsia="ru-RU"/>
        </w:rPr>
        <w:t>ГЕНЕРАЛЬНЫЙ ПЛАН</w:t>
      </w:r>
    </w:p>
    <w:p w:rsidR="0042058C" w:rsidRPr="00AC7BDA" w:rsidRDefault="0042058C" w:rsidP="0042058C">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sidRPr="00AC7BDA">
        <w:rPr>
          <w:rFonts w:ascii="Times New Roman" w:eastAsia="Times New Roman" w:hAnsi="Times New Roman" w:cs="Times New Roman"/>
          <w:b/>
          <w:sz w:val="36"/>
          <w:szCs w:val="36"/>
          <w:lang w:eastAsia="ru-RU"/>
        </w:rPr>
        <w:t xml:space="preserve">ТРУНОВСКОГО МУНИЦИПАЛЬНОГО ОКРУГА </w:t>
      </w:r>
    </w:p>
    <w:p w:rsidR="0042058C" w:rsidRPr="00AC7BDA" w:rsidRDefault="0042058C" w:rsidP="0042058C">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sidRPr="00AC7BDA">
        <w:rPr>
          <w:rFonts w:ascii="Times New Roman" w:eastAsia="Times New Roman" w:hAnsi="Times New Roman" w:cs="Times New Roman"/>
          <w:b/>
          <w:sz w:val="36"/>
          <w:szCs w:val="36"/>
          <w:lang w:eastAsia="ru-RU"/>
        </w:rPr>
        <w:t>СТАВРОПОЛЬСКОГО КРАЯ</w:t>
      </w:r>
    </w:p>
    <w:p w:rsidR="0042058C" w:rsidRPr="0042058C" w:rsidRDefault="0042058C" w:rsidP="0042058C">
      <w:pPr>
        <w:spacing w:after="0"/>
        <w:jc w:val="center"/>
        <w:rPr>
          <w:rFonts w:ascii="Times New Roman" w:hAnsi="Times New Roman" w:cs="Times New Roman"/>
          <w:color w:val="262626" w:themeColor="text1" w:themeTint="D9"/>
          <w:sz w:val="32"/>
          <w:szCs w:val="32"/>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sz w:val="24"/>
          <w:szCs w:val="24"/>
        </w:rPr>
      </w:pPr>
    </w:p>
    <w:p w:rsidR="0042058C" w:rsidRPr="0042058C" w:rsidRDefault="0042058C" w:rsidP="0042058C">
      <w:pPr>
        <w:spacing w:after="0"/>
        <w:jc w:val="center"/>
        <w:rPr>
          <w:rFonts w:ascii="Times New Roman" w:hAnsi="Times New Roman" w:cs="Times New Roman"/>
          <w:color w:val="262626" w:themeColor="text1" w:themeTint="D9"/>
          <w:sz w:val="24"/>
          <w:szCs w:val="24"/>
        </w:rPr>
      </w:pPr>
    </w:p>
    <w:p w:rsidR="0042058C" w:rsidRPr="0042058C" w:rsidRDefault="0042058C" w:rsidP="0042058C">
      <w:pPr>
        <w:spacing w:after="0"/>
        <w:jc w:val="center"/>
        <w:rPr>
          <w:rFonts w:ascii="Times New Roman" w:hAnsi="Times New Roman" w:cs="Times New Roman"/>
          <w:color w:val="262626" w:themeColor="text1" w:themeTint="D9"/>
          <w:sz w:val="24"/>
          <w:szCs w:val="24"/>
        </w:rPr>
      </w:pPr>
    </w:p>
    <w:p w:rsidR="0042058C" w:rsidRDefault="0042058C" w:rsidP="0042058C">
      <w:pPr>
        <w:spacing w:after="0"/>
        <w:jc w:val="center"/>
        <w:rPr>
          <w:rFonts w:ascii="Times New Roman" w:hAnsi="Times New Roman" w:cs="Times New Roman"/>
          <w:color w:val="262626" w:themeColor="text1" w:themeTint="D9"/>
          <w:sz w:val="24"/>
          <w:szCs w:val="24"/>
        </w:rPr>
      </w:pPr>
    </w:p>
    <w:p w:rsidR="004535D2" w:rsidRDefault="004535D2" w:rsidP="0042058C">
      <w:pPr>
        <w:spacing w:after="0"/>
        <w:jc w:val="center"/>
        <w:rPr>
          <w:rFonts w:ascii="Times New Roman" w:hAnsi="Times New Roman" w:cs="Times New Roman"/>
          <w:color w:val="262626" w:themeColor="text1" w:themeTint="D9"/>
          <w:sz w:val="24"/>
          <w:szCs w:val="24"/>
        </w:rPr>
      </w:pPr>
    </w:p>
    <w:p w:rsidR="00AC7BDA" w:rsidRPr="0042058C" w:rsidRDefault="00AC7BDA" w:rsidP="0042058C">
      <w:pPr>
        <w:spacing w:after="0"/>
        <w:jc w:val="center"/>
        <w:rPr>
          <w:rFonts w:ascii="Times New Roman" w:hAnsi="Times New Roman" w:cs="Times New Roman"/>
          <w:color w:val="262626" w:themeColor="text1" w:themeTint="D9"/>
          <w:sz w:val="24"/>
          <w:szCs w:val="24"/>
        </w:rPr>
      </w:pPr>
    </w:p>
    <w:p w:rsidR="0042058C" w:rsidRPr="0042058C" w:rsidRDefault="0042058C" w:rsidP="0042058C">
      <w:pPr>
        <w:spacing w:after="0"/>
        <w:jc w:val="center"/>
        <w:rPr>
          <w:rFonts w:ascii="Times New Roman" w:hAnsi="Times New Roman" w:cs="Times New Roman"/>
          <w:color w:val="262626" w:themeColor="text1" w:themeTint="D9"/>
          <w:sz w:val="24"/>
          <w:szCs w:val="24"/>
        </w:rPr>
      </w:pPr>
    </w:p>
    <w:p w:rsidR="0042058C" w:rsidRPr="0042058C" w:rsidRDefault="0042058C" w:rsidP="0042058C">
      <w:pPr>
        <w:spacing w:after="0"/>
        <w:jc w:val="center"/>
        <w:rPr>
          <w:rFonts w:ascii="Times New Roman" w:hAnsi="Times New Roman" w:cs="Times New Roman"/>
          <w:color w:val="262626" w:themeColor="text1" w:themeTint="D9"/>
          <w:sz w:val="24"/>
          <w:szCs w:val="24"/>
        </w:rPr>
      </w:pPr>
    </w:p>
    <w:p w:rsidR="0042058C" w:rsidRPr="0042058C" w:rsidRDefault="0042058C" w:rsidP="0042058C">
      <w:pPr>
        <w:jc w:val="center"/>
        <w:rPr>
          <w:rFonts w:ascii="Impact" w:hAnsi="Impact" w:cs="Arial"/>
          <w:color w:val="404040" w:themeColor="text1" w:themeTint="BF"/>
          <w:sz w:val="28"/>
          <w:szCs w:val="28"/>
        </w:rPr>
      </w:pPr>
      <w:r w:rsidRPr="0042058C">
        <w:rPr>
          <w:rFonts w:ascii="Times New Roman" w:hAnsi="Times New Roman" w:cs="Times New Roman"/>
          <w:color w:val="262626" w:themeColor="text1" w:themeTint="D9"/>
          <w:sz w:val="28"/>
          <w:szCs w:val="28"/>
        </w:rPr>
        <w:t>202</w:t>
      </w:r>
      <w:r w:rsidR="00AC7BDA">
        <w:rPr>
          <w:rFonts w:ascii="Times New Roman" w:hAnsi="Times New Roman" w:cs="Times New Roman"/>
          <w:color w:val="262626" w:themeColor="text1" w:themeTint="D9"/>
          <w:sz w:val="28"/>
          <w:szCs w:val="28"/>
        </w:rPr>
        <w:t>2 г.</w:t>
      </w:r>
      <w:r w:rsidRPr="0042058C">
        <w:rPr>
          <w:rFonts w:ascii="Impact" w:hAnsi="Impact" w:cs="Arial"/>
          <w:color w:val="404040" w:themeColor="text1" w:themeTint="BF"/>
          <w:sz w:val="28"/>
          <w:szCs w:val="28"/>
        </w:rPr>
        <w:br w:type="page"/>
      </w:r>
    </w:p>
    <w:bookmarkEnd w:id="0"/>
    <w:p w:rsidR="0042058C" w:rsidRPr="0042058C" w:rsidRDefault="0042058C" w:rsidP="0042058C">
      <w:pPr>
        <w:spacing w:after="120" w:line="240" w:lineRule="auto"/>
        <w:ind w:firstLine="709"/>
        <w:rPr>
          <w:rFonts w:ascii="Times New Roman" w:eastAsia="Times New Roman" w:hAnsi="Times New Roman" w:cs="Times New Roman"/>
          <w:b/>
          <w:sz w:val="28"/>
          <w:lang w:eastAsia="ru-RU"/>
        </w:rPr>
      </w:pPr>
      <w:r w:rsidRPr="0042058C">
        <w:rPr>
          <w:rFonts w:ascii="Times New Roman" w:eastAsia="Times New Roman" w:hAnsi="Times New Roman" w:cs="Times New Roman"/>
          <w:b/>
          <w:sz w:val="28"/>
          <w:lang w:eastAsia="ru-RU"/>
        </w:rPr>
        <w:lastRenderedPageBreak/>
        <w:t>Содержание</w:t>
      </w:r>
    </w:p>
    <w:p w:rsidR="0042058C" w:rsidRPr="0042058C" w:rsidRDefault="0042058C" w:rsidP="00A3755D">
      <w:pPr>
        <w:spacing w:after="0" w:line="240" w:lineRule="auto"/>
        <w:ind w:firstLine="709"/>
        <w:jc w:val="center"/>
        <w:rPr>
          <w:rFonts w:ascii="Times New Roman" w:eastAsia="Times New Roman" w:hAnsi="Times New Roman" w:cs="Times New Roman"/>
          <w:b/>
          <w:sz w:val="28"/>
          <w:lang w:eastAsia="ru-RU"/>
        </w:rPr>
      </w:pPr>
    </w:p>
    <w:p w:rsidR="005063A1" w:rsidRPr="0042058C" w:rsidRDefault="005063A1" w:rsidP="005063A1">
      <w:pPr>
        <w:spacing w:after="120" w:line="240" w:lineRule="auto"/>
        <w:ind w:firstLine="708"/>
        <w:jc w:val="both"/>
        <w:rPr>
          <w:rFonts w:ascii="Times New Roman" w:eastAsia="Times New Roman" w:hAnsi="Times New Roman" w:cs="Times New Roman"/>
          <w:sz w:val="28"/>
          <w:lang w:eastAsia="ru-RU"/>
        </w:rPr>
      </w:pPr>
      <w:r w:rsidRPr="0042058C">
        <w:rPr>
          <w:rFonts w:ascii="Times New Roman" w:eastAsia="Times New Roman" w:hAnsi="Times New Roman" w:cs="Times New Roman"/>
          <w:sz w:val="28"/>
          <w:lang w:eastAsia="ru-RU"/>
        </w:rPr>
        <w:t>Содержание………………………………………………………………</w:t>
      </w:r>
      <w:r w:rsidR="00A3755D">
        <w:rPr>
          <w:rFonts w:ascii="Times New Roman" w:eastAsia="Times New Roman" w:hAnsi="Times New Roman" w:cs="Times New Roman"/>
          <w:sz w:val="28"/>
          <w:lang w:eastAsia="ru-RU"/>
        </w:rPr>
        <w:t>…</w:t>
      </w:r>
      <w:r w:rsidRPr="0042058C">
        <w:rPr>
          <w:rFonts w:ascii="Times New Roman" w:eastAsia="Times New Roman" w:hAnsi="Times New Roman" w:cs="Times New Roman"/>
          <w:sz w:val="28"/>
          <w:lang w:eastAsia="ru-RU"/>
        </w:rPr>
        <w:t>2</w:t>
      </w:r>
    </w:p>
    <w:p w:rsidR="005063A1" w:rsidRPr="00A3755D" w:rsidRDefault="00765EC2" w:rsidP="005063A1">
      <w:pPr>
        <w:widowControl w:val="0"/>
        <w:autoSpaceDE w:val="0"/>
        <w:autoSpaceDN w:val="0"/>
        <w:adjustRightInd w:val="0"/>
        <w:spacing w:after="0" w:line="240" w:lineRule="exact"/>
        <w:ind w:firstLine="708"/>
        <w:jc w:val="both"/>
        <w:rPr>
          <w:rFonts w:ascii="Times New Roman" w:eastAsia="Times New Roman" w:hAnsi="Times New Roman" w:cs="Times New Roman"/>
          <w:sz w:val="28"/>
          <w:szCs w:val="28"/>
          <w:lang w:eastAsia="ru-RU"/>
        </w:rPr>
      </w:pPr>
      <w:bookmarkStart w:id="1" w:name="_Toc84245623"/>
      <w:r w:rsidRPr="00A3755D">
        <w:rPr>
          <w:rFonts w:ascii="Times New Roman" w:eastAsia="Times New Roman" w:hAnsi="Times New Roman" w:cs="Times New Roman"/>
          <w:sz w:val="28"/>
          <w:szCs w:val="28"/>
          <w:lang w:eastAsia="ru-RU"/>
        </w:rPr>
        <w:t>Глава</w:t>
      </w:r>
      <w:r w:rsidR="005063A1" w:rsidRPr="00A3755D">
        <w:rPr>
          <w:rFonts w:ascii="Times New Roman" w:eastAsia="Times New Roman" w:hAnsi="Times New Roman" w:cs="Times New Roman"/>
          <w:sz w:val="28"/>
          <w:szCs w:val="28"/>
          <w:lang w:eastAsia="ru-RU"/>
        </w:rPr>
        <w:t xml:space="preserve"> 1. Положение о территориальном планировании</w:t>
      </w:r>
      <w:r w:rsidR="00A3755D">
        <w:rPr>
          <w:rFonts w:ascii="Times New Roman" w:eastAsia="Times New Roman" w:hAnsi="Times New Roman" w:cs="Times New Roman"/>
          <w:sz w:val="28"/>
          <w:szCs w:val="28"/>
          <w:lang w:eastAsia="ru-RU"/>
        </w:rPr>
        <w:t>…………………4</w:t>
      </w:r>
    </w:p>
    <w:p w:rsidR="007675D5" w:rsidRPr="0042058C" w:rsidRDefault="007675D5"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Состав проекта</w:t>
      </w:r>
      <w:r>
        <w:rPr>
          <w:rFonts w:ascii="Times New Roman" w:eastAsia="Times New Roman" w:hAnsi="Times New Roman" w:cs="Times New Roman"/>
          <w:bCs/>
          <w:sz w:val="28"/>
          <w:szCs w:val="28"/>
          <w:lang w:eastAsia="ru-RU"/>
        </w:rPr>
        <w:t>…………………………………………………………</w:t>
      </w:r>
      <w:r w:rsidR="00A3755D">
        <w:rPr>
          <w:rFonts w:ascii="Times New Roman" w:eastAsia="Times New Roman" w:hAnsi="Times New Roman" w:cs="Times New Roman"/>
          <w:bCs/>
          <w:sz w:val="28"/>
          <w:szCs w:val="28"/>
          <w:lang w:eastAsia="ru-RU"/>
        </w:rPr>
        <w:t>…...4</w:t>
      </w:r>
    </w:p>
    <w:p w:rsidR="007675D5" w:rsidRPr="0042058C" w:rsidRDefault="007675D5"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Термины и определения</w:t>
      </w:r>
      <w:r w:rsidR="005063A1">
        <w:rPr>
          <w:rFonts w:ascii="Times New Roman" w:eastAsia="Times New Roman" w:hAnsi="Times New Roman" w:cs="Times New Roman"/>
          <w:bCs/>
          <w:sz w:val="28"/>
          <w:szCs w:val="28"/>
          <w:lang w:eastAsia="ru-RU"/>
        </w:rPr>
        <w:t>…………………………………………………</w:t>
      </w:r>
      <w:r w:rsidR="00A3755D">
        <w:rPr>
          <w:rFonts w:ascii="Times New Roman" w:eastAsia="Times New Roman" w:hAnsi="Times New Roman" w:cs="Times New Roman"/>
          <w:bCs/>
          <w:sz w:val="28"/>
          <w:szCs w:val="28"/>
          <w:lang w:eastAsia="ru-RU"/>
        </w:rPr>
        <w:t>…</w:t>
      </w:r>
      <w:r w:rsidR="002D57F1">
        <w:rPr>
          <w:rFonts w:ascii="Times New Roman" w:eastAsia="Times New Roman" w:hAnsi="Times New Roman" w:cs="Times New Roman"/>
          <w:bCs/>
          <w:sz w:val="28"/>
          <w:szCs w:val="28"/>
          <w:lang w:eastAsia="ru-RU"/>
        </w:rPr>
        <w:t>7</w:t>
      </w:r>
    </w:p>
    <w:p w:rsidR="0042058C" w:rsidRPr="0042058C" w:rsidRDefault="0042058C" w:rsidP="005063A1">
      <w:pPr>
        <w:spacing w:after="0" w:line="240" w:lineRule="auto"/>
        <w:ind w:firstLine="708"/>
        <w:jc w:val="both"/>
        <w:rPr>
          <w:rFonts w:ascii="Times New Roman" w:eastAsia="Times New Roman" w:hAnsi="Times New Roman" w:cs="Times New Roman"/>
          <w:sz w:val="28"/>
          <w:lang w:eastAsia="ru-RU"/>
        </w:rPr>
      </w:pPr>
      <w:r w:rsidRPr="0042058C">
        <w:rPr>
          <w:rFonts w:ascii="Times New Roman" w:eastAsia="Times New Roman" w:hAnsi="Times New Roman" w:cs="Times New Roman"/>
          <w:sz w:val="28"/>
          <w:lang w:eastAsia="ru-RU"/>
        </w:rPr>
        <w:t>Введение………………………………………………………………...</w:t>
      </w:r>
      <w:r w:rsidR="002D57F1">
        <w:rPr>
          <w:rFonts w:ascii="Times New Roman" w:eastAsia="Times New Roman" w:hAnsi="Times New Roman" w:cs="Times New Roman"/>
          <w:sz w:val="28"/>
          <w:lang w:eastAsia="ru-RU"/>
        </w:rPr>
        <w:t>....13</w:t>
      </w:r>
    </w:p>
    <w:p w:rsidR="0042058C" w:rsidRPr="0042058C" w:rsidRDefault="0042058C" w:rsidP="005063A1">
      <w:pPr>
        <w:spacing w:after="0" w:line="240" w:lineRule="auto"/>
        <w:ind w:firstLine="708"/>
        <w:jc w:val="both"/>
        <w:rPr>
          <w:rFonts w:ascii="Times New Roman" w:eastAsia="Times New Roman" w:hAnsi="Times New Roman" w:cs="Times New Roman"/>
          <w:sz w:val="28"/>
          <w:lang w:eastAsia="ru-RU"/>
        </w:rPr>
      </w:pPr>
      <w:r w:rsidRPr="0042058C">
        <w:rPr>
          <w:rFonts w:ascii="Times New Roman" w:eastAsia="Times New Roman" w:hAnsi="Times New Roman" w:cs="Times New Roman"/>
          <w:sz w:val="28"/>
          <w:lang w:eastAsia="ru-RU"/>
        </w:rPr>
        <w:t xml:space="preserve">Статья 1. Сведения о видах, назначении и наименованиях планируемых для размещения объектов местного значения муниципального округа, </w:t>
      </w:r>
      <w:r w:rsidR="00765EC2">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 xml:space="preserve">их основные характеристики, местоположение, а также характеристики зон </w:t>
      </w:r>
      <w:r w:rsidR="00765EC2">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с особыми условиями использования террит</w:t>
      </w:r>
      <w:r w:rsidR="00765EC2">
        <w:rPr>
          <w:rFonts w:ascii="Times New Roman" w:eastAsia="Times New Roman" w:hAnsi="Times New Roman" w:cs="Times New Roman"/>
          <w:sz w:val="28"/>
          <w:lang w:eastAsia="ru-RU"/>
        </w:rPr>
        <w:t>орий………………………</w:t>
      </w:r>
      <w:r w:rsidRPr="0042058C">
        <w:rPr>
          <w:rFonts w:ascii="Times New Roman" w:eastAsia="Times New Roman" w:hAnsi="Times New Roman" w:cs="Times New Roman"/>
          <w:sz w:val="28"/>
          <w:lang w:eastAsia="ru-RU"/>
        </w:rPr>
        <w:t>......</w:t>
      </w:r>
      <w:r w:rsidR="002D57F1">
        <w:rPr>
          <w:rFonts w:ascii="Times New Roman" w:eastAsia="Times New Roman" w:hAnsi="Times New Roman" w:cs="Times New Roman"/>
          <w:sz w:val="28"/>
          <w:lang w:eastAsia="ru-RU"/>
        </w:rPr>
        <w:t>...13</w:t>
      </w:r>
    </w:p>
    <w:p w:rsidR="0042058C" w:rsidRPr="0042058C" w:rsidRDefault="0042058C" w:rsidP="005063A1">
      <w:pPr>
        <w:spacing w:after="0" w:line="240" w:lineRule="auto"/>
        <w:ind w:firstLine="708"/>
        <w:jc w:val="both"/>
        <w:rPr>
          <w:rFonts w:ascii="Times New Roman" w:eastAsia="Times New Roman" w:hAnsi="Times New Roman" w:cs="Times New Roman"/>
          <w:sz w:val="28"/>
          <w:lang w:eastAsia="ru-RU"/>
        </w:rPr>
      </w:pPr>
      <w:r w:rsidRPr="0042058C">
        <w:rPr>
          <w:rFonts w:ascii="Times New Roman" w:eastAsia="Times New Roman" w:hAnsi="Times New Roman" w:cs="Times New Roman"/>
          <w:sz w:val="28"/>
          <w:lang w:eastAsia="ru-RU"/>
        </w:rPr>
        <w:t xml:space="preserve">Статья 2. Сведения о видах, назначении и наименованиях планируемых для размещения объектов федерального и регионального значения </w:t>
      </w:r>
      <w:r w:rsidR="00A3755D">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 xml:space="preserve">на территории Труновского муниципального округа Ставропольского края, их основные характеристики, местоположение, а также характеристики зон </w:t>
      </w:r>
      <w:r w:rsidR="00A3755D">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с особыми условиями использования территории</w:t>
      </w:r>
      <w:r w:rsidR="005063A1">
        <w:rPr>
          <w:rFonts w:ascii="Times New Roman" w:eastAsia="Times New Roman" w:hAnsi="Times New Roman" w:cs="Times New Roman"/>
          <w:sz w:val="28"/>
          <w:lang w:eastAsia="ru-RU"/>
        </w:rPr>
        <w:t>…………………………</w:t>
      </w:r>
      <w:r w:rsidR="00A3755D">
        <w:rPr>
          <w:rFonts w:ascii="Times New Roman" w:eastAsia="Times New Roman" w:hAnsi="Times New Roman" w:cs="Times New Roman"/>
          <w:sz w:val="28"/>
          <w:lang w:eastAsia="ru-RU"/>
        </w:rPr>
        <w:t>…</w:t>
      </w:r>
      <w:r w:rsidR="002D57F1">
        <w:rPr>
          <w:rFonts w:ascii="Times New Roman" w:eastAsia="Times New Roman" w:hAnsi="Times New Roman" w:cs="Times New Roman"/>
          <w:sz w:val="28"/>
          <w:lang w:eastAsia="ru-RU"/>
        </w:rPr>
        <w:t>.39</w:t>
      </w:r>
    </w:p>
    <w:p w:rsidR="0042058C" w:rsidRDefault="0042058C" w:rsidP="005063A1">
      <w:pPr>
        <w:spacing w:after="0" w:line="240" w:lineRule="auto"/>
        <w:ind w:firstLine="708"/>
        <w:jc w:val="both"/>
        <w:rPr>
          <w:rFonts w:ascii="Times New Roman" w:eastAsia="Times New Roman" w:hAnsi="Times New Roman" w:cs="Times New Roman"/>
          <w:sz w:val="28"/>
          <w:lang w:eastAsia="ru-RU"/>
        </w:rPr>
      </w:pPr>
      <w:r w:rsidRPr="0042058C">
        <w:rPr>
          <w:rFonts w:ascii="Times New Roman" w:eastAsia="Times New Roman" w:hAnsi="Times New Roman" w:cs="Times New Roman"/>
          <w:sz w:val="28"/>
          <w:lang w:eastAsia="ru-RU"/>
        </w:rPr>
        <w:t xml:space="preserve">Статья 3. Параметры функциональных зон, а также сведения </w:t>
      </w:r>
      <w:r w:rsidR="00A3755D">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 xml:space="preserve">о планируемых для размещения в них объектах федерального значения, объектах регионального значения, объектах местного значения, </w:t>
      </w:r>
      <w:r w:rsidR="00A3755D">
        <w:rPr>
          <w:rFonts w:ascii="Times New Roman" w:eastAsia="Times New Roman" w:hAnsi="Times New Roman" w:cs="Times New Roman"/>
          <w:sz w:val="28"/>
          <w:lang w:eastAsia="ru-RU"/>
        </w:rPr>
        <w:t xml:space="preserve">                     </w:t>
      </w:r>
      <w:r w:rsidRPr="0042058C">
        <w:rPr>
          <w:rFonts w:ascii="Times New Roman" w:eastAsia="Times New Roman" w:hAnsi="Times New Roman" w:cs="Times New Roman"/>
          <w:sz w:val="28"/>
          <w:lang w:eastAsia="ru-RU"/>
        </w:rPr>
        <w:t>за исключением линейных объ</w:t>
      </w:r>
      <w:r w:rsidR="00A3755D">
        <w:rPr>
          <w:rFonts w:ascii="Times New Roman" w:eastAsia="Times New Roman" w:hAnsi="Times New Roman" w:cs="Times New Roman"/>
          <w:sz w:val="28"/>
          <w:lang w:eastAsia="ru-RU"/>
        </w:rPr>
        <w:t>ектов……………………………..…………</w:t>
      </w:r>
      <w:r w:rsidR="002D57F1">
        <w:rPr>
          <w:rFonts w:ascii="Times New Roman" w:eastAsia="Times New Roman" w:hAnsi="Times New Roman" w:cs="Times New Roman"/>
          <w:sz w:val="28"/>
          <w:lang w:eastAsia="ru-RU"/>
        </w:rPr>
        <w:t>….47</w:t>
      </w:r>
    </w:p>
    <w:p w:rsidR="0042058C" w:rsidRPr="00A3755D" w:rsidRDefault="00765EC2" w:rsidP="005063A1">
      <w:pPr>
        <w:spacing w:after="0" w:line="240" w:lineRule="auto"/>
        <w:ind w:firstLine="708"/>
        <w:jc w:val="both"/>
        <w:rPr>
          <w:rFonts w:ascii="Times New Roman" w:eastAsia="Times New Roman" w:hAnsi="Times New Roman" w:cs="Times New Roman"/>
          <w:sz w:val="28"/>
          <w:lang w:eastAsia="ru-RU"/>
        </w:rPr>
      </w:pPr>
      <w:r w:rsidRPr="00A3755D">
        <w:rPr>
          <w:rFonts w:ascii="Times New Roman" w:eastAsiaTheme="majorEastAsia" w:hAnsi="Times New Roman" w:cs="Times New Roman"/>
          <w:bCs/>
          <w:sz w:val="28"/>
          <w:szCs w:val="28"/>
        </w:rPr>
        <w:t>Глава</w:t>
      </w:r>
      <w:r w:rsidR="0042058C" w:rsidRPr="00A3755D">
        <w:rPr>
          <w:rFonts w:ascii="Times New Roman" w:eastAsiaTheme="majorEastAsia" w:hAnsi="Times New Roman" w:cs="Times New Roman"/>
          <w:bCs/>
          <w:sz w:val="28"/>
          <w:szCs w:val="28"/>
        </w:rPr>
        <w:t xml:space="preserve"> 2. Материалы по обоснованию</w:t>
      </w:r>
      <w:r w:rsidR="002D57F1">
        <w:rPr>
          <w:rFonts w:ascii="Times New Roman" w:eastAsiaTheme="majorEastAsia" w:hAnsi="Times New Roman" w:cs="Times New Roman"/>
          <w:bCs/>
          <w:sz w:val="28"/>
          <w:szCs w:val="28"/>
        </w:rPr>
        <w:t>……………………………………50</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Статья </w:t>
      </w:r>
      <w:r w:rsidR="00A3755D">
        <w:rPr>
          <w:rFonts w:ascii="Times New Roman" w:eastAsia="Times New Roman" w:hAnsi="Times New Roman" w:cs="Times New Roman"/>
          <w:bCs/>
          <w:sz w:val="28"/>
          <w:szCs w:val="28"/>
          <w:lang w:eastAsia="ru-RU"/>
        </w:rPr>
        <w:t>4</w:t>
      </w:r>
      <w:r w:rsidRPr="0042058C">
        <w:rPr>
          <w:rFonts w:ascii="Times New Roman" w:eastAsia="Times New Roman" w:hAnsi="Times New Roman" w:cs="Times New Roman"/>
          <w:bCs/>
          <w:sz w:val="28"/>
          <w:szCs w:val="28"/>
          <w:lang w:eastAsia="ru-RU"/>
        </w:rPr>
        <w:t>. Общие положения</w:t>
      </w:r>
      <w:r w:rsidR="00D24A46">
        <w:rPr>
          <w:rFonts w:ascii="Times New Roman" w:eastAsia="Times New Roman" w:hAnsi="Times New Roman" w:cs="Times New Roman"/>
          <w:bCs/>
          <w:sz w:val="28"/>
          <w:szCs w:val="28"/>
          <w:lang w:eastAsia="ru-RU"/>
        </w:rPr>
        <w:t>……………………………………………...5</w:t>
      </w:r>
      <w:r w:rsidR="002D57F1">
        <w:rPr>
          <w:rFonts w:ascii="Times New Roman" w:eastAsia="Times New Roman" w:hAnsi="Times New Roman" w:cs="Times New Roman"/>
          <w:bCs/>
          <w:sz w:val="28"/>
          <w:szCs w:val="28"/>
          <w:lang w:eastAsia="ru-RU"/>
        </w:rPr>
        <w:t>0</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Статья </w:t>
      </w:r>
      <w:r w:rsidR="00A3755D">
        <w:rPr>
          <w:rFonts w:ascii="Times New Roman" w:eastAsia="Times New Roman" w:hAnsi="Times New Roman" w:cs="Times New Roman"/>
          <w:bCs/>
          <w:sz w:val="28"/>
          <w:szCs w:val="28"/>
          <w:lang w:eastAsia="ru-RU"/>
        </w:rPr>
        <w:t>5</w:t>
      </w:r>
      <w:r w:rsidRPr="0042058C">
        <w:rPr>
          <w:rFonts w:ascii="Times New Roman" w:eastAsia="Times New Roman" w:hAnsi="Times New Roman" w:cs="Times New Roman"/>
          <w:bCs/>
          <w:sz w:val="28"/>
          <w:szCs w:val="28"/>
          <w:lang w:eastAsia="ru-RU"/>
        </w:rPr>
        <w:t xml:space="preserve">. Комплексный анализ современного состояния </w:t>
      </w:r>
      <w:r w:rsidR="00A3755D">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использования территории Труновского муниципального округа</w:t>
      </w:r>
      <w:r w:rsidR="002D57F1">
        <w:rPr>
          <w:rFonts w:ascii="Times New Roman" w:eastAsia="Times New Roman" w:hAnsi="Times New Roman" w:cs="Times New Roman"/>
          <w:bCs/>
          <w:sz w:val="28"/>
          <w:szCs w:val="28"/>
          <w:lang w:eastAsia="ru-RU"/>
        </w:rPr>
        <w:t>………...56</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Статья </w:t>
      </w:r>
      <w:r w:rsidR="00A3755D">
        <w:rPr>
          <w:rFonts w:ascii="Times New Roman" w:eastAsia="Times New Roman" w:hAnsi="Times New Roman" w:cs="Times New Roman"/>
          <w:bCs/>
          <w:sz w:val="28"/>
          <w:szCs w:val="28"/>
          <w:lang w:eastAsia="ru-RU"/>
        </w:rPr>
        <w:t>6</w:t>
      </w:r>
      <w:r w:rsidRPr="0042058C">
        <w:rPr>
          <w:rFonts w:ascii="Times New Roman" w:eastAsia="Times New Roman" w:hAnsi="Times New Roman" w:cs="Times New Roman"/>
          <w:bCs/>
          <w:sz w:val="28"/>
          <w:szCs w:val="28"/>
          <w:lang w:eastAsia="ru-RU"/>
        </w:rPr>
        <w:t>. Обоснование выбранного варианта размещения объектов местного значения Труновского муниципального округа</w:t>
      </w:r>
      <w:r w:rsidR="00D24A46">
        <w:rPr>
          <w:rFonts w:ascii="Times New Roman" w:eastAsia="Times New Roman" w:hAnsi="Times New Roman" w:cs="Times New Roman"/>
          <w:bCs/>
          <w:sz w:val="28"/>
          <w:szCs w:val="28"/>
          <w:lang w:eastAsia="ru-RU"/>
        </w:rPr>
        <w:t>…………………</w:t>
      </w:r>
      <w:r w:rsidR="002D57F1">
        <w:rPr>
          <w:rFonts w:ascii="Times New Roman" w:eastAsia="Times New Roman" w:hAnsi="Times New Roman" w:cs="Times New Roman"/>
          <w:bCs/>
          <w:sz w:val="28"/>
          <w:szCs w:val="28"/>
          <w:lang w:eastAsia="ru-RU"/>
        </w:rPr>
        <w:t>164</w:t>
      </w:r>
    </w:p>
    <w:p w:rsid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Статья </w:t>
      </w:r>
      <w:r w:rsidR="00A3755D">
        <w:rPr>
          <w:rFonts w:ascii="Times New Roman" w:eastAsia="Times New Roman" w:hAnsi="Times New Roman" w:cs="Times New Roman"/>
          <w:bCs/>
          <w:sz w:val="28"/>
          <w:szCs w:val="28"/>
          <w:lang w:eastAsia="ru-RU"/>
        </w:rPr>
        <w:t>7</w:t>
      </w:r>
      <w:r w:rsidRPr="0042058C">
        <w:rPr>
          <w:rFonts w:ascii="Times New Roman" w:eastAsia="Times New Roman" w:hAnsi="Times New Roman" w:cs="Times New Roman"/>
          <w:bCs/>
          <w:sz w:val="28"/>
          <w:szCs w:val="28"/>
          <w:lang w:eastAsia="ru-RU"/>
        </w:rPr>
        <w:t>. Оценка возможного влияния планируемых для размещения объектов местного значения Труновского муниципального округа                         на комплексное развитие</w:t>
      </w:r>
      <w:r w:rsidR="00A61FBD">
        <w:rPr>
          <w:rFonts w:ascii="Times New Roman" w:eastAsia="Times New Roman" w:hAnsi="Times New Roman" w:cs="Times New Roman"/>
          <w:bCs/>
          <w:sz w:val="28"/>
          <w:szCs w:val="28"/>
          <w:lang w:eastAsia="ru-RU"/>
        </w:rPr>
        <w:t xml:space="preserve"> территорий</w:t>
      </w:r>
      <w:r w:rsidR="00D24A46">
        <w:rPr>
          <w:rFonts w:ascii="Times New Roman" w:eastAsia="Times New Roman" w:hAnsi="Times New Roman" w:cs="Times New Roman"/>
          <w:bCs/>
          <w:sz w:val="28"/>
          <w:szCs w:val="28"/>
          <w:lang w:eastAsia="ru-RU"/>
        </w:rPr>
        <w:t>………………………………………1</w:t>
      </w:r>
      <w:r w:rsidR="002D57F1">
        <w:rPr>
          <w:rFonts w:ascii="Times New Roman" w:eastAsia="Times New Roman" w:hAnsi="Times New Roman" w:cs="Times New Roman"/>
          <w:bCs/>
          <w:sz w:val="28"/>
          <w:szCs w:val="28"/>
          <w:lang w:eastAsia="ru-RU"/>
        </w:rPr>
        <w:t>78</w:t>
      </w:r>
    </w:p>
    <w:p w:rsidR="00A61FBD" w:rsidRPr="00A61FBD" w:rsidRDefault="00A61FBD" w:rsidP="00A61FBD">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A61FBD">
        <w:rPr>
          <w:rFonts w:ascii="Times New Roman" w:eastAsia="Times New Roman" w:hAnsi="Times New Roman" w:cs="Times New Roman"/>
          <w:bCs/>
          <w:sz w:val="28"/>
          <w:szCs w:val="28"/>
          <w:lang w:eastAsia="ru-RU"/>
        </w:rPr>
        <w:t xml:space="preserve">Статья </w:t>
      </w:r>
      <w:r>
        <w:rPr>
          <w:rFonts w:ascii="Times New Roman" w:eastAsia="Times New Roman" w:hAnsi="Times New Roman" w:cs="Times New Roman"/>
          <w:bCs/>
          <w:sz w:val="28"/>
          <w:szCs w:val="28"/>
          <w:lang w:eastAsia="ru-RU"/>
        </w:rPr>
        <w:t>8</w:t>
      </w:r>
      <w:r w:rsidRPr="00A61FBD">
        <w:rPr>
          <w:rFonts w:ascii="Times New Roman" w:eastAsia="Times New Roman" w:hAnsi="Times New Roman" w:cs="Times New Roman"/>
          <w:bCs/>
          <w:sz w:val="28"/>
          <w:szCs w:val="28"/>
          <w:lang w:eastAsia="ru-RU"/>
        </w:rPr>
        <w:t>. Изменение границ населенных пунктов Труновского муниципального округа</w:t>
      </w:r>
      <w:r w:rsidR="00D24A46">
        <w:rPr>
          <w:rFonts w:ascii="Times New Roman" w:eastAsia="Times New Roman" w:hAnsi="Times New Roman" w:cs="Times New Roman"/>
          <w:bCs/>
          <w:sz w:val="28"/>
          <w:szCs w:val="28"/>
          <w:lang w:eastAsia="ru-RU"/>
        </w:rPr>
        <w:t>………………………………………………………..</w:t>
      </w:r>
      <w:r w:rsidR="002D57F1">
        <w:rPr>
          <w:rFonts w:ascii="Times New Roman" w:eastAsia="Times New Roman" w:hAnsi="Times New Roman" w:cs="Times New Roman"/>
          <w:bCs/>
          <w:sz w:val="28"/>
          <w:szCs w:val="28"/>
          <w:lang w:eastAsia="ru-RU"/>
        </w:rPr>
        <w:t>274</w:t>
      </w:r>
    </w:p>
    <w:p w:rsidR="00A61FBD" w:rsidRPr="0042058C" w:rsidRDefault="00A61FBD" w:rsidP="00A61FBD">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A61FBD">
        <w:rPr>
          <w:rFonts w:ascii="Times New Roman" w:eastAsia="Times New Roman" w:hAnsi="Times New Roman" w:cs="Times New Roman"/>
          <w:bCs/>
          <w:sz w:val="28"/>
          <w:szCs w:val="28"/>
          <w:lang w:eastAsia="ru-RU"/>
        </w:rPr>
        <w:t xml:space="preserve">Статья </w:t>
      </w:r>
      <w:r>
        <w:rPr>
          <w:rFonts w:ascii="Times New Roman" w:eastAsia="Times New Roman" w:hAnsi="Times New Roman" w:cs="Times New Roman"/>
          <w:bCs/>
          <w:sz w:val="28"/>
          <w:szCs w:val="28"/>
          <w:lang w:eastAsia="ru-RU"/>
        </w:rPr>
        <w:t>9</w:t>
      </w:r>
      <w:r w:rsidRPr="00A61FBD">
        <w:rPr>
          <w:rFonts w:ascii="Times New Roman" w:eastAsia="Times New Roman" w:hAnsi="Times New Roman" w:cs="Times New Roman"/>
          <w:bCs/>
          <w:sz w:val="28"/>
          <w:szCs w:val="28"/>
          <w:lang w:eastAsia="ru-RU"/>
        </w:rPr>
        <w:t>. Технико-экономические показатели генерального плана Труновского муниципального округа</w:t>
      </w:r>
      <w:r w:rsidR="00D24A46">
        <w:rPr>
          <w:rFonts w:ascii="Times New Roman" w:eastAsia="Times New Roman" w:hAnsi="Times New Roman" w:cs="Times New Roman"/>
          <w:bCs/>
          <w:sz w:val="28"/>
          <w:szCs w:val="28"/>
          <w:lang w:eastAsia="ru-RU"/>
        </w:rPr>
        <w:t>………………………………………</w:t>
      </w:r>
      <w:r w:rsidR="002D57F1">
        <w:rPr>
          <w:rFonts w:ascii="Times New Roman" w:eastAsia="Times New Roman" w:hAnsi="Times New Roman" w:cs="Times New Roman"/>
          <w:bCs/>
          <w:sz w:val="28"/>
          <w:szCs w:val="28"/>
          <w:lang w:eastAsia="ru-RU"/>
        </w:rPr>
        <w:t>275</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Заключение</w:t>
      </w:r>
      <w:r w:rsidR="00D24A46">
        <w:rPr>
          <w:rFonts w:ascii="Times New Roman" w:eastAsia="Times New Roman" w:hAnsi="Times New Roman" w:cs="Times New Roman"/>
          <w:bCs/>
          <w:sz w:val="28"/>
          <w:szCs w:val="28"/>
          <w:lang w:eastAsia="ru-RU"/>
        </w:rPr>
        <w:t>………………………………………………………………2</w:t>
      </w:r>
      <w:r w:rsidR="002D57F1">
        <w:rPr>
          <w:rFonts w:ascii="Times New Roman" w:eastAsia="Times New Roman" w:hAnsi="Times New Roman" w:cs="Times New Roman"/>
          <w:bCs/>
          <w:sz w:val="28"/>
          <w:szCs w:val="28"/>
          <w:lang w:eastAsia="ru-RU"/>
        </w:rPr>
        <w:t>85</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Приложение</w:t>
      </w:r>
      <w:r w:rsidR="00A3755D">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1 – перечень государственных программ, Федеральных целевых программ и национальных проектов Российской Федерации, использованных при выполнении научно-исследовательской работы </w:t>
      </w:r>
      <w:r w:rsidR="00A3755D">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по разработке генерального плана Труновского муниципального округа  Ставропольского края</w:t>
      </w:r>
      <w:r w:rsidR="00D24A46">
        <w:rPr>
          <w:rFonts w:ascii="Times New Roman" w:eastAsia="Times New Roman" w:hAnsi="Times New Roman" w:cs="Times New Roman"/>
          <w:bCs/>
          <w:sz w:val="28"/>
          <w:szCs w:val="28"/>
          <w:lang w:eastAsia="ru-RU"/>
        </w:rPr>
        <w:t>………………………………………………………….2</w:t>
      </w:r>
      <w:r w:rsidR="002D57F1">
        <w:rPr>
          <w:rFonts w:ascii="Times New Roman" w:eastAsia="Times New Roman" w:hAnsi="Times New Roman" w:cs="Times New Roman"/>
          <w:bCs/>
          <w:sz w:val="28"/>
          <w:szCs w:val="28"/>
          <w:lang w:eastAsia="ru-RU"/>
        </w:rPr>
        <w:t>89</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Приложение 2 – перечень государственных программ Ставропольского края</w:t>
      </w:r>
      <w:r w:rsidR="00D24A46">
        <w:rPr>
          <w:rFonts w:ascii="Times New Roman" w:eastAsia="Times New Roman" w:hAnsi="Times New Roman" w:cs="Times New Roman"/>
          <w:bCs/>
          <w:sz w:val="28"/>
          <w:szCs w:val="28"/>
          <w:lang w:eastAsia="ru-RU"/>
        </w:rPr>
        <w:t>………………………………………………………………………………29</w:t>
      </w:r>
      <w:r w:rsidR="002D57F1">
        <w:rPr>
          <w:rFonts w:ascii="Times New Roman" w:eastAsia="Times New Roman" w:hAnsi="Times New Roman" w:cs="Times New Roman"/>
          <w:bCs/>
          <w:sz w:val="28"/>
          <w:szCs w:val="28"/>
          <w:lang w:eastAsia="ru-RU"/>
        </w:rPr>
        <w:t>2</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Приложение 3 – памятники культуры и истории регионального значения, расположенные на территории Тр</w:t>
      </w:r>
      <w:r w:rsidR="00D24A46">
        <w:rPr>
          <w:rFonts w:ascii="Times New Roman" w:eastAsia="Times New Roman" w:hAnsi="Times New Roman" w:cs="Times New Roman"/>
          <w:bCs/>
          <w:sz w:val="28"/>
          <w:szCs w:val="28"/>
          <w:lang w:eastAsia="ru-RU"/>
        </w:rPr>
        <w:t>уновского муниципального округ</w:t>
      </w:r>
      <w:r w:rsidR="002D57F1">
        <w:rPr>
          <w:rFonts w:ascii="Times New Roman" w:eastAsia="Times New Roman" w:hAnsi="Times New Roman" w:cs="Times New Roman"/>
          <w:bCs/>
          <w:sz w:val="28"/>
          <w:szCs w:val="28"/>
          <w:lang w:eastAsia="ru-RU"/>
        </w:rPr>
        <w:t>а……………………………………………………………………………294</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lastRenderedPageBreak/>
        <w:t>Приложение 4 – объекты археологического наследия, расположенные на территории Труновского муниципального округа</w:t>
      </w:r>
      <w:r w:rsidR="002D57F1">
        <w:rPr>
          <w:rFonts w:ascii="Times New Roman" w:eastAsia="Times New Roman" w:hAnsi="Times New Roman" w:cs="Times New Roman"/>
          <w:bCs/>
          <w:sz w:val="28"/>
          <w:szCs w:val="28"/>
          <w:lang w:eastAsia="ru-RU"/>
        </w:rPr>
        <w:t>………………………..296</w:t>
      </w:r>
    </w:p>
    <w:p w:rsidR="0042058C" w:rsidRPr="0042058C"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Приложение 5 – градостроительные ограничения и режимы использования территории по функциональным зонам Труновского муниципального округа</w:t>
      </w:r>
      <w:r w:rsidR="00D24A46">
        <w:rPr>
          <w:rFonts w:ascii="Times New Roman" w:eastAsia="Times New Roman" w:hAnsi="Times New Roman" w:cs="Times New Roman"/>
          <w:bCs/>
          <w:sz w:val="28"/>
          <w:szCs w:val="28"/>
          <w:lang w:eastAsia="ru-RU"/>
        </w:rPr>
        <w:t>………………………………………………………..30</w:t>
      </w:r>
      <w:r w:rsidR="002D57F1">
        <w:rPr>
          <w:rFonts w:ascii="Times New Roman" w:eastAsia="Times New Roman" w:hAnsi="Times New Roman" w:cs="Times New Roman"/>
          <w:bCs/>
          <w:sz w:val="28"/>
          <w:szCs w:val="28"/>
          <w:lang w:eastAsia="ru-RU"/>
        </w:rPr>
        <w:t>0</w:t>
      </w:r>
    </w:p>
    <w:p w:rsidR="005063A1"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Приложение 6 – перечень автомобильных дорог общего пользования местного значения Труновского муниципального округа</w:t>
      </w:r>
      <w:r w:rsidR="002D57F1">
        <w:rPr>
          <w:rFonts w:ascii="Times New Roman" w:eastAsia="Times New Roman" w:hAnsi="Times New Roman" w:cs="Times New Roman"/>
          <w:bCs/>
          <w:sz w:val="28"/>
          <w:szCs w:val="28"/>
          <w:lang w:eastAsia="ru-RU"/>
        </w:rPr>
        <w:t>…………………..311</w:t>
      </w:r>
    </w:p>
    <w:p w:rsid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C11A83" w:rsidRDefault="00C11A83"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C11A83" w:rsidRDefault="00C11A83"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C11A83" w:rsidRDefault="00C11A83"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C11A83" w:rsidRDefault="00C11A83"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2A001F" w:rsidRDefault="002A001F"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A3755D" w:rsidRDefault="00A3755D"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A3755D" w:rsidRDefault="00A3755D"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A3755D" w:rsidRDefault="00A3755D"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p>
    <w:p w:rsidR="005063A1" w:rsidRPr="0042058C" w:rsidRDefault="00C11A83" w:rsidP="005063A1">
      <w:pPr>
        <w:widowControl w:val="0"/>
        <w:autoSpaceDE w:val="0"/>
        <w:autoSpaceDN w:val="0"/>
        <w:adjustRightInd w:val="0"/>
        <w:spacing w:after="0" w:line="240" w:lineRule="exact"/>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Глава</w:t>
      </w:r>
      <w:r w:rsidR="005063A1" w:rsidRPr="0042058C">
        <w:rPr>
          <w:rFonts w:ascii="Times New Roman" w:eastAsia="Times New Roman" w:hAnsi="Times New Roman" w:cs="Times New Roman"/>
          <w:b/>
          <w:sz w:val="28"/>
          <w:szCs w:val="28"/>
          <w:lang w:eastAsia="ru-RU"/>
        </w:rPr>
        <w:t xml:space="preserve"> 1. Положение о территориальном планировании</w:t>
      </w:r>
    </w:p>
    <w:p w:rsid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5063A1" w:rsidRPr="002A001F" w:rsidRDefault="005063A1" w:rsidP="002A001F">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2A001F">
        <w:rPr>
          <w:rFonts w:ascii="Times New Roman" w:eastAsia="Times New Roman" w:hAnsi="Times New Roman" w:cs="Times New Roman"/>
          <w:b/>
          <w:bCs/>
          <w:sz w:val="28"/>
          <w:szCs w:val="28"/>
          <w:lang w:eastAsia="ru-RU"/>
        </w:rPr>
        <w:t>Состав проекта</w:t>
      </w:r>
    </w:p>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6065"/>
        <w:gridCol w:w="1812"/>
      </w:tblGrid>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34"/>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Обозначения</w:t>
            </w:r>
          </w:p>
        </w:tc>
        <w:tc>
          <w:tcPr>
            <w:tcW w:w="3107"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Наименование</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24"/>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Примечание</w:t>
            </w:r>
          </w:p>
        </w:tc>
      </w:tr>
      <w:tr w:rsidR="005063A1" w:rsidRPr="005063A1" w:rsidTr="009C6893">
        <w:tc>
          <w:tcPr>
            <w:tcW w:w="965" w:type="pct"/>
            <w:tcBorders>
              <w:top w:val="single" w:sz="4" w:space="0" w:color="auto"/>
              <w:left w:val="single" w:sz="4" w:space="0" w:color="auto"/>
              <w:bottom w:val="single" w:sz="4" w:space="0" w:color="auto"/>
              <w:right w:val="nil"/>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tc>
        <w:tc>
          <w:tcPr>
            <w:tcW w:w="3107" w:type="pct"/>
            <w:tcBorders>
              <w:top w:val="single" w:sz="4" w:space="0" w:color="auto"/>
              <w:left w:val="nil"/>
              <w:bottom w:val="single" w:sz="4" w:space="0" w:color="auto"/>
              <w:right w:val="nil"/>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tc>
        <w:tc>
          <w:tcPr>
            <w:tcW w:w="928" w:type="pct"/>
            <w:tcBorders>
              <w:top w:val="single" w:sz="4" w:space="0" w:color="auto"/>
              <w:left w:val="nil"/>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ПЗ</w:t>
            </w:r>
          </w:p>
        </w:tc>
        <w:tc>
          <w:tcPr>
            <w:tcW w:w="4035" w:type="pct"/>
            <w:gridSpan w:val="2"/>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Пояснительная записка</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ПЗ – 1</w:t>
            </w:r>
          </w:p>
        </w:tc>
        <w:tc>
          <w:tcPr>
            <w:tcW w:w="4035" w:type="pct"/>
            <w:gridSpan w:val="2"/>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Том 1. Положение о территориальном планировании</w:t>
            </w:r>
          </w:p>
        </w:tc>
      </w:tr>
      <w:tr w:rsidR="005063A1" w:rsidRPr="005063A1" w:rsidTr="009C6893">
        <w:trPr>
          <w:trHeight w:val="489"/>
        </w:trPr>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ПЗ – 2</w:t>
            </w:r>
          </w:p>
        </w:tc>
        <w:tc>
          <w:tcPr>
            <w:tcW w:w="4035" w:type="pct"/>
            <w:gridSpan w:val="2"/>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Том 2. Материалы по обоснованию проекта</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w:t>
            </w:r>
          </w:p>
        </w:tc>
        <w:tc>
          <w:tcPr>
            <w:tcW w:w="4035" w:type="pct"/>
            <w:gridSpan w:val="2"/>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Графическая часть</w:t>
            </w:r>
          </w:p>
        </w:tc>
      </w:tr>
      <w:tr w:rsidR="005063A1" w:rsidRPr="005063A1" w:rsidTr="009C6893">
        <w:tc>
          <w:tcPr>
            <w:tcW w:w="5000" w:type="pct"/>
            <w:gridSpan w:val="3"/>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Положения о территориальном планировании</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границ населенных пунктов, входящих в состав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транспортной инфраструктуры и автомобильных дорог местного значения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4</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местного значения, относящихся к областям газоснабжения и теплоснабжения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5</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местного значения, относящихся к областям энергоснабжения и связи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6</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местного значения относящихся к области водоснабжения и водоотведения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7</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местного значения, относящихся к областям образования, здравоохранения, туризма, культуры, физической культуры, спорта и культовых объектов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8</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местного значения, относящихся к областям промышленности и сельского хозяйства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9</w:t>
            </w:r>
          </w:p>
        </w:tc>
        <w:tc>
          <w:tcPr>
            <w:tcW w:w="3107" w:type="pct"/>
            <w:tcBorders>
              <w:top w:val="single" w:sz="4" w:space="0" w:color="auto"/>
              <w:left w:val="single" w:sz="4" w:space="0" w:color="auto"/>
              <w:bottom w:val="single" w:sz="4" w:space="0" w:color="auto"/>
              <w:right w:val="single" w:sz="4" w:space="0" w:color="auto"/>
            </w:tcBorders>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Карта функциональных зон и планируемого размещения объектов местного </w:t>
            </w:r>
            <w:r w:rsidRPr="005063A1">
              <w:rPr>
                <w:rFonts w:ascii="Times New Roman" w:eastAsia="Times New Roman" w:hAnsi="Times New Roman" w:cs="Times New Roman"/>
                <w:bCs/>
                <w:sz w:val="28"/>
                <w:szCs w:val="28"/>
                <w:lang w:eastAsia="ru-RU"/>
              </w:rPr>
              <w:lastRenderedPageBreak/>
              <w:t>значения в части населённых пунктов с. Донское, х. Невдахин</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М 1: 10 000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10</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планируемого размещения объектов инженерной инфраструктуры местного значения в части населённых пунктов с. Донское, х. Невдахин</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11</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и планируемого размещения объектов местного значения в части населённого пункта с. Новая Кугульта</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12</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и планируемого размещения объектов местного значения в части населённого пункта с. Подлесное</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13</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и планируемого размещения объектов местного значения в части населённых пунктов с. Безопасное, х. Эммануэлевский</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14</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и планируемого размещения объектов местного значения в части населённых пунктов п. им. Кирова, п. Нижняя Терновка, п. Новотерновский, п. Правоегорлыкский, п. Сухой Лог</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c>
          <w:tcPr>
            <w:tcW w:w="965"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15</w:t>
            </w:r>
          </w:p>
        </w:tc>
        <w:tc>
          <w:tcPr>
            <w:tcW w:w="3107"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функциональных зон и планируемого размещения объектов местного значения в части населённых пунктов с. Труновское, с. Ключевское, х. Кофанов</w:t>
            </w:r>
          </w:p>
        </w:tc>
        <w:tc>
          <w:tcPr>
            <w:tcW w:w="928" w:type="pct"/>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c>
          <w:tcPr>
            <w:tcW w:w="5000" w:type="pct"/>
            <w:gridSpan w:val="3"/>
            <w:tcBorders>
              <w:top w:val="single" w:sz="4" w:space="0" w:color="auto"/>
              <w:left w:val="single" w:sz="4" w:space="0" w:color="auto"/>
              <w:bottom w:val="single" w:sz="4" w:space="0" w:color="auto"/>
              <w:right w:val="single" w:sz="4" w:space="0" w:color="auto"/>
            </w:tcBorders>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Материалы по обоснованию</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16</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и планировочной организации территории Труновского муниципального округа (опорный план)</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17</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территории (опорный план) в части населённых пунктов с. Донское, х. Невдахин</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18</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территории (опорный план) в части населённого пункта с. Новая Кугульта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19</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территории (опорный план) в части населённого пункта с. Подлесное</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20</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Карта современного использования территории (опорный план) в части населённых </w:t>
            </w:r>
            <w:r w:rsidRPr="005063A1">
              <w:rPr>
                <w:rFonts w:ascii="Times New Roman" w:eastAsia="Times New Roman" w:hAnsi="Times New Roman" w:cs="Times New Roman"/>
                <w:bCs/>
                <w:sz w:val="28"/>
                <w:szCs w:val="28"/>
                <w:lang w:eastAsia="ru-RU"/>
              </w:rPr>
              <w:lastRenderedPageBreak/>
              <w:t>пунктов с. Безопасное, х. Эммануэлевский</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21</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территории (опорный план) в части населённых пунктов п. им. Кирова, п. Нижняя Терновка, п. Новотерновский, п. Правоегорлыкский, п. Сухой Лог</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22</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современного использования территории (опорный план) в части населённых пунктов с. Труновское, с. Ключевское, х. Кофанов</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23</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24</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населённых пунктов с. Донское, х. Невдахин</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25</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населённого пункта с. Новая Кугульта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26</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населённого пункта с. Подлесное</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27</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населённых пунктов с. Безопасное, х. Эммануэлевский</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28</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населённых пунктов п. им. Кирова, п. Нижняя Терновка, п. Новотерновский, п. Правоегорлыкский, п. Сухой Лог</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29</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зон с особыми условиями использования территории в части населённых пунктов с. Труновское, с. Ключевское, х. Кофанов</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10 000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30</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территорий объектов культурного наследия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31</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инженерной инфраструктуры и инженерного благоустройства территории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32</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Карта территорий Труновского муниципального округа, подверженных риску возникновения чрезвычайных ситуаций природного и техногенного характера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ГЧ – 33</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результатов комплексной оценки территории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34</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Структурная модель (карта) градостроительного и пространственного развития территории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r w:rsidR="005063A1" w:rsidRPr="005063A1" w:rsidTr="009C6893">
        <w:trPr>
          <w:trHeight w:val="687"/>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ГЧ – 35</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Карта границ земель лесного фонда Труновского муниципального округа</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63A1" w:rsidRPr="005063A1" w:rsidRDefault="005063A1" w:rsidP="005063A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 1: 50 000</w:t>
            </w:r>
          </w:p>
        </w:tc>
      </w:tr>
    </w:tbl>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5063A1">
        <w:rPr>
          <w:rFonts w:ascii="Times New Roman" w:eastAsia="Times New Roman" w:hAnsi="Times New Roman" w:cs="Times New Roman"/>
          <w:b/>
          <w:bCs/>
          <w:sz w:val="28"/>
          <w:szCs w:val="28"/>
          <w:lang w:eastAsia="ru-RU"/>
        </w:rPr>
        <w:t>Термины и определения</w:t>
      </w:r>
    </w:p>
    <w:p w:rsidR="005063A1" w:rsidRPr="005063A1" w:rsidRDefault="005063A1" w:rsidP="00C11A83">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В настоящем отчете о НИР применяют следующие термины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с соответствующими определениями.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Агломерация (городская) – совокупность компактно расположенных населенных пунктов и территорий между ними с общей численностью населения более 500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Воспроизводство населения – процесс непрерывного возобновления и смены людских поколений в результате естественного движения населения. </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Город – населенный пункт с числом жителей не менее 12 тысяч человек, 85% из которых составляют рабочие, служащие и члены их семей.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Градостроительная деятельность –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w:t>
      </w:r>
      <w:r w:rsidRPr="005063A1">
        <w:rPr>
          <w:rFonts w:ascii="Times New Roman" w:eastAsia="Times New Roman" w:hAnsi="Times New Roman" w:cs="Times New Roman"/>
          <w:bCs/>
          <w:sz w:val="28"/>
          <w:szCs w:val="28"/>
          <w:lang w:eastAsia="ru-RU"/>
        </w:rPr>
        <w:lastRenderedPageBreak/>
        <w:t xml:space="preserve">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Естественное движение населения – совокупность процессов рождаемости и смертности, приводящих к приросту (убыли) населения,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обеспечивающих непрерывное возобновление и смену людских поколений.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Земельные ресурсы – земли, которые используются или могут быть использованы в отраслях народного хозяйства.</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Земельные угодья – земли, систематически используемые или пригодные к использованию для конкретных хозяйственных целей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отличающиеся по природно-историческим признакам.</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Землепользователь – предприятие, учреждение, организация, гражданин, которым в установленном порядке предоставлен в пользование земельный участок.</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Земли общего пользования – земли населенных пунктов, используемые под площади, улицы, проезды и для удовлетворения бытовых потребностей населения.</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Земля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и хозяйственно-бытового водоснабжения, зоны охраняемых объектов, приаэродромная территория, иные зоны, устанавливаемые в соответствии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с законодательством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Инвестор – лицо или организация (в том числе компания, государство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т.д.), размещающие капитал, с целью последующего получения прибыли (инвестиции).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Индустриальный парк –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Инженерно-геологическое районирование – последовательное деление территории на соподчиненные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Инфраструктура – комплекс взаимосвязанных обслуживающих структур или объектов, составляющих и/или обеспечивающих основу функционирования системы.</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Категория земель – часть единого государственного земельного фонда, выделяемая по основному целевому назначению и имеющая определенный правовой режим.</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Концепция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Муниципальное образование – городское или сельское поселение, муниципальный район, городской округ, городской округ с внутригородским делением, муниципальный округ, внутригородской район либо внутригородская территория города федерального значения.</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Муниципальный округ – несколько объединенных общей территорией населенных пунктов (за исключением случая, предусмотренного Федеральным законом от 06.10.2003 № 131-ФЗ «Об общих принципах организации местного самоуправления в Российской Федерации»),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населенных пунктов, городских округов. Виды </w:t>
      </w:r>
      <w:r w:rsidRPr="005063A1">
        <w:rPr>
          <w:rFonts w:ascii="Times New Roman" w:eastAsia="Times New Roman" w:hAnsi="Times New Roman" w:cs="Times New Roman"/>
          <w:bCs/>
          <w:sz w:val="28"/>
          <w:szCs w:val="28"/>
          <w:lang w:eastAsia="ru-RU"/>
        </w:rPr>
        <w:lastRenderedPageBreak/>
        <w:t xml:space="preserve">объектов местного значения муниципального района, поселения, городского округа в указанных в пункте 1 части 3 статьи 19 и пункте 1 части 5 статьи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23 Градостроительного кодекса РФ областях, подлежащих отображению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на схеме территориального планирования муниципального района, генеральном плане поселения, генеральном плане городского округа, муниципального округа определяются законом субъекта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14 Градостроительного кодекса РФ областях, подлежащих отображению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на схеме территориального планирования субъекта Российской Федерации, определяются законом субъекта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w:t>
      </w:r>
      <w:r w:rsidR="00A61FBD">
        <w:rPr>
          <w:rFonts w:ascii="Times New Roman" w:eastAsia="Times New Roman" w:hAnsi="Times New Roman" w:cs="Times New Roman"/>
          <w:bCs/>
          <w:sz w:val="28"/>
          <w:szCs w:val="28"/>
          <w:lang w:eastAsia="ru-RU"/>
        </w:rPr>
        <w:t>оссийской Федерации</w:t>
      </w:r>
      <w:r w:rsidRPr="005063A1">
        <w:rPr>
          <w:rFonts w:ascii="Times New Roman" w:eastAsia="Times New Roman" w:hAnsi="Times New Roman" w:cs="Times New Roman"/>
          <w:bCs/>
          <w:sz w:val="28"/>
          <w:szCs w:val="28"/>
          <w:lang w:eastAsia="ru-RU"/>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и оздоровительное значение, которые изъяты решениями органов </w:t>
      </w:r>
      <w:r w:rsidRPr="005063A1">
        <w:rPr>
          <w:rFonts w:ascii="Times New Roman" w:eastAsia="Times New Roman" w:hAnsi="Times New Roman" w:cs="Times New Roman"/>
          <w:bCs/>
          <w:sz w:val="28"/>
          <w:szCs w:val="28"/>
          <w:lang w:eastAsia="ru-RU"/>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Опорный каркас расселения – сеть наиболее значительных населенных пунктов определенной территории и соединяющих их транспортных коммуникаций.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Охрана земель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Пашня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5063A1">
        <w:rPr>
          <w:rFonts w:ascii="Times New Roman" w:eastAsia="Times New Roman" w:hAnsi="Times New Roman" w:cs="Times New Roman"/>
          <w:bCs/>
          <w:sz w:val="28"/>
          <w:szCs w:val="28"/>
          <w:vertAlign w:val="superscript"/>
          <w:lang w:eastAsia="ru-RU"/>
        </w:rPr>
        <w:footnoteReference w:id="1"/>
      </w:r>
      <w:r w:rsidRPr="005063A1">
        <w:rPr>
          <w:rFonts w:ascii="Times New Roman" w:eastAsia="Times New Roman" w:hAnsi="Times New Roman" w:cs="Times New Roman"/>
          <w:bCs/>
          <w:sz w:val="28"/>
          <w:szCs w:val="28"/>
          <w:lang w:eastAsia="ru-RU"/>
        </w:rPr>
        <w:t>.</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Планировочная структура территории –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«Полюса» роста –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Рациональное использование земель – обеспечение всеми землепользователями в процессе производства максимального эффекта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в осуществлении целей землепользования с учетом охраны земель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оптимального взаимодействия с природными факторами.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Строительство – создание зданий, строений, сооружений (в том числе на месте сносимых объектов капитального строительства).</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Схема территориального планирования (СТП) – основной документ территориального планирования,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Территориальное планирование – планирование развития территорий,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 xml:space="preserve">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Транспортная инфраструктура – комплекс объектов и сооружений, обеспечивающих потребности физических лиц, юридических лиц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государства в пассажирских и грузовых транспортных перевозках.</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Улично-дорожная сеть (УДС) – система объектов капитального строительства, включая улицы и дороги различных категорий и входящие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 xml:space="preserve">Урбанизация – процесс увеличения числа городов, роста численности городского населения, повышения роли городов в жизни страны (региона) </w:t>
      </w:r>
      <w:r w:rsidR="00A61FBD">
        <w:rPr>
          <w:rFonts w:ascii="Times New Roman" w:eastAsia="Times New Roman" w:hAnsi="Times New Roman" w:cs="Times New Roman"/>
          <w:bCs/>
          <w:sz w:val="28"/>
          <w:szCs w:val="28"/>
          <w:lang w:eastAsia="ru-RU"/>
        </w:rPr>
        <w:t xml:space="preserve">            </w:t>
      </w:r>
      <w:r w:rsidRPr="005063A1">
        <w:rPr>
          <w:rFonts w:ascii="Times New Roman" w:eastAsia="Times New Roman" w:hAnsi="Times New Roman" w:cs="Times New Roman"/>
          <w:bCs/>
          <w:sz w:val="28"/>
          <w:szCs w:val="28"/>
          <w:lang w:eastAsia="ru-RU"/>
        </w:rPr>
        <w:t>и распространение городского образа жизни.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lastRenderedPageBreak/>
        <w:t>Функциональные зоны – зоны, для которых документами территориального планирования определены границы и функциональное назначение.</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063A1">
        <w:rPr>
          <w:rFonts w:ascii="Times New Roman" w:eastAsia="Times New Roman" w:hAnsi="Times New Roman" w:cs="Times New Roman"/>
          <w:bCs/>
          <w:sz w:val="28"/>
          <w:szCs w:val="28"/>
          <w:lang w:eastAsia="ru-RU"/>
        </w:rPr>
        <w:t>Элемент планировочной структуры – часть территории поселения, городского округа, муниципального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063A1" w:rsidRPr="005063A1" w:rsidRDefault="005063A1" w:rsidP="005063A1">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42058C" w:rsidRPr="005063A1" w:rsidRDefault="0042058C" w:rsidP="005063A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heme="majorEastAsia" w:hAnsi="Times New Roman" w:cs="Times New Roman"/>
          <w:b/>
          <w:bCs/>
          <w:sz w:val="28"/>
          <w:szCs w:val="28"/>
        </w:rPr>
        <w:t>В</w:t>
      </w:r>
      <w:bookmarkEnd w:id="1"/>
      <w:r w:rsidRPr="0042058C">
        <w:rPr>
          <w:rFonts w:ascii="Times New Roman" w:eastAsiaTheme="majorEastAsia" w:hAnsi="Times New Roman" w:cs="Times New Roman"/>
          <w:b/>
          <w:bCs/>
          <w:sz w:val="28"/>
          <w:szCs w:val="28"/>
        </w:rPr>
        <w:t>ведение</w:t>
      </w:r>
    </w:p>
    <w:p w:rsidR="0042058C" w:rsidRPr="0042058C" w:rsidRDefault="0042058C" w:rsidP="0042058C">
      <w:pPr>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Проект генерального плана Труновского муниципального округа Ставропольского края (далее по тексту также – проект генерального плана, проект, генеральный план) выполнен согласно муниципальному контракту   № 22/05 на выполнение научно-исследовательской работы по теме: «Разработка системы (комплекта) градостроительной документации Труновского муниципального округа Ставропольского края в составе: местных нормативов градостроительного проектирования, генерального плана, правил землепользования и застройки».</w:t>
      </w:r>
    </w:p>
    <w:p w:rsidR="0042058C" w:rsidRPr="0042058C" w:rsidRDefault="0042058C" w:rsidP="0042058C">
      <w:pPr>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Проект генерального плана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w:t>
      </w:r>
    </w:p>
    <w:p w:rsidR="0042058C" w:rsidRPr="0042058C" w:rsidRDefault="0042058C" w:rsidP="0042058C">
      <w:pPr>
        <w:spacing w:after="0" w:line="240" w:lineRule="auto"/>
        <w:ind w:firstLine="709"/>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 xml:space="preserve">При подготовке проекта генерального плана </w:t>
      </w:r>
      <w:r w:rsidRPr="0042058C">
        <w:rPr>
          <w:rFonts w:ascii="Times New Roman" w:eastAsia="Times New Roman" w:hAnsi="Times New Roman" w:cs="Times New Roman"/>
          <w:sz w:val="28"/>
          <w:szCs w:val="28"/>
          <w:lang w:eastAsia="ru-RU"/>
        </w:rPr>
        <w:t>Труновского муниципального округа</w:t>
      </w:r>
      <w:r w:rsidRPr="0042058C">
        <w:rPr>
          <w:rFonts w:ascii="Times New Roman" w:eastAsia="Calibri" w:hAnsi="Times New Roman" w:cs="Times New Roman"/>
          <w:sz w:val="28"/>
          <w:szCs w:val="28"/>
          <w:lang w:eastAsia="ru-RU"/>
        </w:rPr>
        <w:t xml:space="preserve"> Ставропольского края учтены и определены:</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социально-экономические, демографические и иные показатели развития муниципального образования; </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решения проблем градостроительного развития</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выявленны</w:t>
      </w:r>
      <w:r w:rsidRPr="0042058C">
        <w:rPr>
          <w:rFonts w:ascii="Times New Roman" w:eastAsia="Times New Roman" w:hAnsi="Times New Roman" w:cs="Times New Roman"/>
          <w:snapToGrid w:val="0"/>
          <w:sz w:val="28"/>
          <w:szCs w:val="28"/>
          <w:lang w:eastAsia="x-none"/>
        </w:rPr>
        <w:t>е</w:t>
      </w:r>
      <w:r w:rsidRPr="0042058C">
        <w:rPr>
          <w:rFonts w:ascii="Times New Roman" w:eastAsia="Times New Roman" w:hAnsi="Times New Roman" w:cs="Times New Roman"/>
          <w:snapToGrid w:val="0"/>
          <w:sz w:val="28"/>
          <w:szCs w:val="28"/>
          <w:lang w:val="x-none" w:eastAsia="x-none"/>
        </w:rPr>
        <w:t xml:space="preserve"> </w:t>
      </w:r>
      <w:r w:rsidRPr="0042058C">
        <w:rPr>
          <w:rFonts w:ascii="Times New Roman" w:eastAsia="Times New Roman" w:hAnsi="Times New Roman" w:cs="Times New Roman"/>
          <w:snapToGrid w:val="0"/>
          <w:sz w:val="28"/>
          <w:szCs w:val="28"/>
          <w:lang w:eastAsia="x-none"/>
        </w:rPr>
        <w:t xml:space="preserve">                        на </w:t>
      </w:r>
      <w:r w:rsidRPr="0042058C">
        <w:rPr>
          <w:rFonts w:ascii="Times New Roman" w:eastAsia="Times New Roman" w:hAnsi="Times New Roman" w:cs="Times New Roman"/>
          <w:snapToGrid w:val="0"/>
          <w:sz w:val="28"/>
          <w:szCs w:val="28"/>
          <w:lang w:val="x-none" w:eastAsia="x-none"/>
        </w:rPr>
        <w:t>территории муниципального образования;</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основные направления и параметры пространственного развития муниципального образования, обеспечивающие создание инструмента управления развитием территории</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на основе баланса интересов федеральных, краевых и местных органов публичной власти</w:t>
      </w:r>
      <w:r w:rsidRPr="0042058C">
        <w:rPr>
          <w:rFonts w:ascii="Times New Roman" w:eastAsia="Times New Roman" w:hAnsi="Times New Roman" w:cs="Times New Roman"/>
          <w:snapToGrid w:val="0"/>
          <w:sz w:val="28"/>
          <w:szCs w:val="28"/>
          <w:lang w:eastAsia="x-none"/>
        </w:rPr>
        <w:t>;</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t>п</w:t>
      </w:r>
      <w:r w:rsidRPr="0042058C">
        <w:rPr>
          <w:rFonts w:ascii="Times New Roman" w:eastAsia="Times New Roman" w:hAnsi="Times New Roman" w:cs="Times New Roman"/>
          <w:snapToGrid w:val="0"/>
          <w:sz w:val="28"/>
          <w:szCs w:val="28"/>
          <w:lang w:val="x-none" w:eastAsia="x-none"/>
        </w:rPr>
        <w:t xml:space="preserve">рогноз размещения инвестиционных объектов, относящихся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к приоритетным направлениям развития экономики муниципального образования.</w:t>
      </w:r>
    </w:p>
    <w:p w:rsidR="0042058C" w:rsidRPr="0042058C" w:rsidRDefault="0042058C" w:rsidP="0042058C">
      <w:pPr>
        <w:spacing w:after="0" w:line="240" w:lineRule="auto"/>
        <w:ind w:firstLine="709"/>
        <w:jc w:val="both"/>
        <w:rPr>
          <w:rFonts w:ascii="Times New Roman" w:eastAsia="Calibri" w:hAnsi="Times New Roman" w:cs="Times New Roman"/>
          <w:sz w:val="28"/>
          <w:szCs w:val="28"/>
          <w:lang w:eastAsia="ru-RU"/>
        </w:rPr>
      </w:pPr>
      <w:r w:rsidRPr="0042058C">
        <w:rPr>
          <w:rFonts w:ascii="Times New Roman" w:eastAsia="Calibri" w:hAnsi="Times New Roman" w:cs="Times New Roman"/>
          <w:snapToGrid w:val="0"/>
          <w:sz w:val="28"/>
          <w:szCs w:val="28"/>
          <w:lang w:eastAsia="ru-RU"/>
        </w:rPr>
        <w:t>Проект генерального плана выполнен на основе топографических съемок М 1:</w:t>
      </w:r>
      <w:r w:rsidRPr="0042058C">
        <w:rPr>
          <w:rFonts w:ascii="Times New Roman" w:eastAsia="Calibri" w:hAnsi="Times New Roman" w:cs="Times New Roman"/>
          <w:sz w:val="28"/>
          <w:szCs w:val="28"/>
          <w:lang w:eastAsia="ru-RU"/>
        </w:rPr>
        <w:t>5000</w:t>
      </w:r>
      <w:r w:rsidRPr="0042058C">
        <w:rPr>
          <w:rFonts w:ascii="Times New Roman" w:eastAsia="Calibri" w:hAnsi="Times New Roman" w:cs="Times New Roman"/>
          <w:snapToGrid w:val="0"/>
          <w:sz w:val="28"/>
          <w:szCs w:val="28"/>
          <w:lang w:eastAsia="ru-RU"/>
        </w:rPr>
        <w:t xml:space="preserve"> и натурного обследования территории</w:t>
      </w:r>
      <w:r w:rsidRPr="0042058C">
        <w:rPr>
          <w:rFonts w:ascii="Times New Roman" w:eastAsia="Calibri" w:hAnsi="Times New Roman" w:cs="Times New Roman"/>
          <w:sz w:val="28"/>
          <w:szCs w:val="28"/>
          <w:lang w:eastAsia="ru-RU"/>
        </w:rPr>
        <w:t xml:space="preserve">, </w:t>
      </w:r>
      <w:r w:rsidRPr="0042058C">
        <w:rPr>
          <w:rFonts w:ascii="Times New Roman" w:eastAsia="Calibri" w:hAnsi="Times New Roman" w:cs="Times New Roman"/>
          <w:snapToGrid w:val="0"/>
          <w:sz w:val="28"/>
          <w:szCs w:val="28"/>
          <w:lang w:eastAsia="ru-RU"/>
        </w:rPr>
        <w:t>с применением компьютерных геоинформационных технологий в программ</w:t>
      </w:r>
      <w:r w:rsidRPr="0042058C">
        <w:rPr>
          <w:rFonts w:ascii="Times New Roman" w:eastAsia="Calibri" w:hAnsi="Times New Roman" w:cs="Times New Roman"/>
          <w:sz w:val="28"/>
          <w:szCs w:val="28"/>
          <w:lang w:eastAsia="ru-RU"/>
        </w:rPr>
        <w:t>е ГИС «MapInfo Professional 15». С</w:t>
      </w:r>
      <w:r w:rsidRPr="0042058C">
        <w:rPr>
          <w:rFonts w:ascii="Times New Roman" w:eastAsia="Calibri" w:hAnsi="Times New Roman" w:cs="Times New Roman"/>
          <w:snapToGrid w:val="0"/>
          <w:sz w:val="28"/>
          <w:szCs w:val="28"/>
          <w:lang w:eastAsia="ru-RU"/>
        </w:rPr>
        <w:t xml:space="preserve">одержит </w:t>
      </w:r>
      <w:r w:rsidRPr="0042058C">
        <w:rPr>
          <w:rFonts w:ascii="Times New Roman" w:eastAsia="Calibri" w:hAnsi="Times New Roman" w:cs="Times New Roman"/>
          <w:sz w:val="28"/>
          <w:szCs w:val="28"/>
          <w:lang w:eastAsia="ru-RU"/>
        </w:rPr>
        <w:t>графические материалы в векторном виде                     с семантическим описанием.</w:t>
      </w:r>
    </w:p>
    <w:p w:rsidR="0042058C" w:rsidRPr="0042058C" w:rsidRDefault="0042058C" w:rsidP="0042058C">
      <w:pPr>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Основная цель генерального плана Труновского муниципального округа Ставропольского края – определение назначения территорий Труновского муниципального округа</w:t>
      </w:r>
      <w:r w:rsidRPr="0042058C">
        <w:rPr>
          <w:rFonts w:ascii="Times New Roman" w:eastAsia="Times New Roman" w:hAnsi="Times New Roman" w:cs="Times New Roman"/>
          <w:sz w:val="24"/>
          <w:szCs w:val="24"/>
          <w:lang w:eastAsia="ru-RU"/>
        </w:rPr>
        <w:t xml:space="preserve"> </w:t>
      </w:r>
      <w:r w:rsidRPr="0042058C">
        <w:rPr>
          <w:rFonts w:ascii="Times New Roman" w:eastAsia="Times New Roman" w:hAnsi="Times New Roman" w:cs="Times New Roman"/>
          <w:sz w:val="28"/>
          <w:szCs w:val="28"/>
          <w:lang w:eastAsia="ru-RU"/>
        </w:rPr>
        <w:t>Ставропольского края (далее - Труновский муниципальный округ), исходя из совокупности социальных, экономических, экологических и градостроительных факторов для обеспечения устойчивого развития его территорий, развития инженерной, транспортной и социальной инфраструктур, обеспечения учета интересов граждан Труновского муниципального округа и их объединений, а также определение тенденций  и перспектив развития территории округа.</w:t>
      </w:r>
    </w:p>
    <w:p w:rsidR="0042058C" w:rsidRPr="0042058C" w:rsidRDefault="0042058C" w:rsidP="0042058C">
      <w:pPr>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проекте генерального плана Труновского муниципального округа приняты следующие проектные периоды: </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исходный год подготовки генерального плана – 202</w:t>
      </w:r>
      <w:r w:rsidRPr="0042058C">
        <w:rPr>
          <w:rFonts w:ascii="Times New Roman" w:eastAsia="Times New Roman" w:hAnsi="Times New Roman" w:cs="Times New Roman"/>
          <w:snapToGrid w:val="0"/>
          <w:sz w:val="28"/>
          <w:szCs w:val="28"/>
          <w:lang w:eastAsia="x-none"/>
        </w:rPr>
        <w:t>1</w:t>
      </w:r>
      <w:r w:rsidRPr="0042058C">
        <w:rPr>
          <w:rFonts w:ascii="Times New Roman" w:eastAsia="Times New Roman" w:hAnsi="Times New Roman" w:cs="Times New Roman"/>
          <w:snapToGrid w:val="0"/>
          <w:sz w:val="28"/>
          <w:szCs w:val="28"/>
          <w:lang w:val="x-none" w:eastAsia="x-none"/>
        </w:rPr>
        <w:t xml:space="preserve"> год;</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первая очередь реализации генерального плана – до 203</w:t>
      </w:r>
      <w:r w:rsidRPr="0042058C">
        <w:rPr>
          <w:rFonts w:ascii="Times New Roman" w:eastAsia="Times New Roman" w:hAnsi="Times New Roman" w:cs="Times New Roman"/>
          <w:snapToGrid w:val="0"/>
          <w:sz w:val="28"/>
          <w:szCs w:val="28"/>
          <w:lang w:eastAsia="x-none"/>
        </w:rPr>
        <w:t>1</w:t>
      </w:r>
      <w:r w:rsidRPr="0042058C">
        <w:rPr>
          <w:rFonts w:ascii="Times New Roman" w:eastAsia="Times New Roman" w:hAnsi="Times New Roman" w:cs="Times New Roman"/>
          <w:snapToGrid w:val="0"/>
          <w:sz w:val="28"/>
          <w:szCs w:val="28"/>
          <w:lang w:val="x-none" w:eastAsia="x-none"/>
        </w:rPr>
        <w:t xml:space="preserve"> года;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расчетный срок реализации генерального плана – до 204</w:t>
      </w:r>
      <w:r w:rsidRPr="0042058C">
        <w:rPr>
          <w:rFonts w:ascii="Times New Roman" w:eastAsia="Times New Roman" w:hAnsi="Times New Roman" w:cs="Times New Roman"/>
          <w:snapToGrid w:val="0"/>
          <w:sz w:val="28"/>
          <w:szCs w:val="28"/>
          <w:lang w:eastAsia="x-none"/>
        </w:rPr>
        <w:t>1</w:t>
      </w:r>
      <w:r w:rsidRPr="0042058C">
        <w:rPr>
          <w:rFonts w:ascii="Times New Roman" w:eastAsia="Times New Roman" w:hAnsi="Times New Roman" w:cs="Times New Roman"/>
          <w:snapToGrid w:val="0"/>
          <w:sz w:val="28"/>
          <w:szCs w:val="28"/>
          <w:lang w:val="x-none" w:eastAsia="x-none"/>
        </w:rPr>
        <w:t xml:space="preserve"> года.</w:t>
      </w:r>
    </w:p>
    <w:p w:rsidR="0042058C" w:rsidRPr="0042058C" w:rsidRDefault="0042058C" w:rsidP="0042058C">
      <w:pPr>
        <w:spacing w:after="0" w:line="240" w:lineRule="auto"/>
        <w:ind w:firstLine="709"/>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Основные задачи работы:</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создание действенного инструмента управления развитием территории в соответствии с законодательством;</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решение наиболее острых </w:t>
      </w:r>
      <w:r w:rsidR="00A375B8">
        <w:rPr>
          <w:rFonts w:ascii="Times New Roman" w:eastAsia="Times New Roman" w:hAnsi="Times New Roman" w:cs="Times New Roman"/>
          <w:snapToGrid w:val="0"/>
          <w:sz w:val="28"/>
          <w:szCs w:val="28"/>
          <w:lang w:val="x-none" w:eastAsia="x-none"/>
        </w:rPr>
        <w:t>проблем пространственного</w:t>
      </w:r>
      <w:r w:rsidR="00A375B8">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градостроительного развития Труновского муниципального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создание комфортных условий для жизнедеятельности населения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благоприятного бизнес-климата;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обеспечения учета интересов граждан и их объединений в пределах территории Труновского муниципального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определение резервных территорий, в целях территориального развития, а также в целях организации инвестиционных площадок для различного хозяйственного использования;</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выполнение прикладных научных исследований, обосновывающих предлагаемые градостроительные решения на основе анализа современного использования территории, возможных направлений ее развития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прогнозируемых ограничений;</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создание градостроительных условий для повышения инвестиционной привлекательности территории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создание условий для устойчивого развития территории Труновского муниципального округа, путем разработки его перспективной пространственной структуры, имеющей целью определение основных направлений рационального и взаимоувязанного размещения в пределах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 промышленного, сельскохозяйственного, гражданского, транспортного и рекреационного строительства на основе ожидаемого перспективного развития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функционального зонирования территории;</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обоснование размещения объектов местного значения в целях реализации полномочий органами местного самоуправления;</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lastRenderedPageBreak/>
        <w:tab/>
      </w:r>
      <w:r w:rsidRPr="0042058C">
        <w:rPr>
          <w:rFonts w:ascii="Times New Roman" w:eastAsia="Times New Roman" w:hAnsi="Times New Roman" w:cs="Times New Roman"/>
          <w:snapToGrid w:val="0"/>
          <w:sz w:val="28"/>
          <w:szCs w:val="28"/>
          <w:lang w:val="x-none" w:eastAsia="x-none"/>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установление границ населенных пунктов, входящих в состав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прогноз перспективной численности населения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разработка предложений по развитию транспортных связей, энергоснабжению, газо- и теплоснабжению, водоснабжению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 xml:space="preserve">и водоотведению для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разработка предложений по охране окружающей природной среды </w:t>
      </w:r>
      <w:r w:rsidR="00F956E2">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улучшению санитарно-гигиенических условий;</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обоснование границ, задач и очередности градостроительного планирования;</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выработка соответствующих рекомендаций для внедрения новых «чистых» технологий в энергетике и производстве, резкого ограничения вредных выбросов, а также по другим вопросам экоустойчивого строительства;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обеспечение устойчивого поэтапного развития </w:t>
      </w:r>
      <w:r w:rsidRPr="0042058C">
        <w:rPr>
          <w:rFonts w:ascii="Times New Roman" w:eastAsia="Times New Roman" w:hAnsi="Times New Roman" w:cs="Times New Roman"/>
          <w:snapToGrid w:val="0"/>
          <w:sz w:val="28"/>
          <w:szCs w:val="28"/>
          <w:lang w:eastAsia="x-none"/>
        </w:rPr>
        <w:t>сельской</w:t>
      </w:r>
      <w:r w:rsidRPr="0042058C">
        <w:rPr>
          <w:rFonts w:ascii="Times New Roman" w:eastAsia="Times New Roman" w:hAnsi="Times New Roman" w:cs="Times New Roman"/>
          <w:snapToGrid w:val="0"/>
          <w:sz w:val="28"/>
          <w:szCs w:val="28"/>
          <w:lang w:val="x-none" w:eastAsia="x-none"/>
        </w:rPr>
        <w:t xml:space="preserve"> среды, упорядочение застройки, оптимизация использования </w:t>
      </w:r>
      <w:r w:rsidRPr="0042058C">
        <w:rPr>
          <w:rFonts w:ascii="Times New Roman" w:eastAsia="Times New Roman" w:hAnsi="Times New Roman" w:cs="Times New Roman"/>
          <w:snapToGrid w:val="0"/>
          <w:sz w:val="28"/>
          <w:szCs w:val="28"/>
          <w:lang w:eastAsia="x-none"/>
        </w:rPr>
        <w:t>сельских</w:t>
      </w:r>
      <w:r w:rsidRPr="0042058C">
        <w:rPr>
          <w:rFonts w:ascii="Times New Roman" w:eastAsia="Times New Roman" w:hAnsi="Times New Roman" w:cs="Times New Roman"/>
          <w:snapToGrid w:val="0"/>
          <w:sz w:val="28"/>
          <w:szCs w:val="28"/>
          <w:lang w:val="x-none" w:eastAsia="x-none"/>
        </w:rPr>
        <w:t xml:space="preserve"> территорий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повышение уровня экологической безопасности;</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сохранение приро</w:t>
      </w:r>
      <w:r w:rsidR="00F956E2">
        <w:rPr>
          <w:rFonts w:ascii="Times New Roman" w:eastAsia="Times New Roman" w:hAnsi="Times New Roman" w:cs="Times New Roman"/>
          <w:snapToGrid w:val="0"/>
          <w:sz w:val="28"/>
          <w:szCs w:val="28"/>
          <w:lang w:val="x-none" w:eastAsia="x-none"/>
        </w:rPr>
        <w:t>дных ландшафтов и использование</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их в организации отдыха, развитие сфер туристической направленности;</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выявление соврем</w:t>
      </w:r>
      <w:r w:rsidR="00F956E2">
        <w:rPr>
          <w:rFonts w:ascii="Times New Roman" w:eastAsia="Times New Roman" w:hAnsi="Times New Roman" w:cs="Times New Roman"/>
          <w:snapToGrid w:val="0"/>
          <w:sz w:val="28"/>
          <w:szCs w:val="28"/>
          <w:lang w:val="x-none" w:eastAsia="x-none"/>
        </w:rPr>
        <w:t>енных проблем пространственного</w:t>
      </w:r>
      <w:r w:rsidR="00F956E2">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 xml:space="preserve">и градостроительного развития на основе ретроспективного анализа социально-экономической и градостроительной ситуации на территории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разработка оптимальной транспортной сети с учётом современного </w:t>
      </w:r>
      <w:r w:rsidR="00F956E2">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прогнозируемого уровня развития;</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изменение границ населенных пунктов, входящих в состав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 (при необходимости);</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привлечение жителей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 xml:space="preserve">к градостроительному проектированию на основе применения технологий «соучаствующего проектирования» для обеспечения публичности </w:t>
      </w:r>
      <w:r w:rsidRPr="0042058C">
        <w:rPr>
          <w:rFonts w:ascii="Times New Roman" w:eastAsia="Times New Roman" w:hAnsi="Times New Roman" w:cs="Times New Roman"/>
          <w:snapToGrid w:val="0"/>
          <w:sz w:val="28"/>
          <w:szCs w:val="28"/>
          <w:lang w:eastAsia="x-none"/>
        </w:rPr>
        <w:t xml:space="preserve">                          </w:t>
      </w:r>
      <w:r w:rsidRPr="0042058C">
        <w:rPr>
          <w:rFonts w:ascii="Times New Roman" w:eastAsia="Times New Roman" w:hAnsi="Times New Roman" w:cs="Times New Roman"/>
          <w:snapToGrid w:val="0"/>
          <w:sz w:val="28"/>
          <w:szCs w:val="28"/>
          <w:lang w:val="x-none" w:eastAsia="x-none"/>
        </w:rPr>
        <w:t>и открытости градостроительных решений;</w:t>
      </w:r>
    </w:p>
    <w:p w:rsidR="0042058C" w:rsidRPr="0042058C" w:rsidRDefault="0042058C" w:rsidP="0042058C">
      <w:pPr>
        <w:spacing w:after="0" w:line="240" w:lineRule="auto"/>
        <w:jc w:val="both"/>
        <w:rPr>
          <w:rFonts w:ascii="Times New Roman" w:eastAsia="Times New Roman" w:hAnsi="Times New Roman" w:cs="Times New Roman"/>
          <w:snapToGrid w:val="0"/>
          <w:sz w:val="28"/>
          <w:szCs w:val="28"/>
          <w:lang w:val="x-none" w:eastAsia="x-none"/>
        </w:rPr>
      </w:pPr>
      <w:r w:rsidRPr="0042058C">
        <w:rPr>
          <w:rFonts w:ascii="Times New Roman" w:eastAsia="Times New Roman" w:hAnsi="Times New Roman" w:cs="Times New Roman"/>
          <w:snapToGrid w:val="0"/>
          <w:sz w:val="28"/>
          <w:szCs w:val="28"/>
          <w:lang w:eastAsia="x-none"/>
        </w:rPr>
        <w:tab/>
      </w:r>
      <w:r w:rsidRPr="0042058C">
        <w:rPr>
          <w:rFonts w:ascii="Times New Roman" w:eastAsia="Times New Roman" w:hAnsi="Times New Roman" w:cs="Times New Roman"/>
          <w:snapToGrid w:val="0"/>
          <w:sz w:val="28"/>
          <w:szCs w:val="28"/>
          <w:lang w:val="x-none" w:eastAsia="x-none"/>
        </w:rPr>
        <w:t xml:space="preserve">организационное и проектное обеспечение подготовки и утверждения проекта генерального плана Труновского </w:t>
      </w:r>
      <w:r w:rsidRPr="0042058C">
        <w:rPr>
          <w:rFonts w:ascii="Times New Roman" w:eastAsia="Times New Roman" w:hAnsi="Times New Roman" w:cs="Times New Roman"/>
          <w:snapToGrid w:val="0"/>
          <w:sz w:val="28"/>
          <w:szCs w:val="28"/>
          <w:lang w:eastAsia="x-none"/>
        </w:rPr>
        <w:t>муниципального</w:t>
      </w:r>
      <w:r w:rsidRPr="0042058C">
        <w:rPr>
          <w:rFonts w:ascii="Times New Roman" w:eastAsia="Times New Roman" w:hAnsi="Times New Roman" w:cs="Times New Roman"/>
          <w:snapToGrid w:val="0"/>
          <w:sz w:val="28"/>
          <w:szCs w:val="28"/>
          <w:lang w:val="x-none" w:eastAsia="x-none"/>
        </w:rPr>
        <w:t xml:space="preserve"> округа.</w:t>
      </w:r>
    </w:p>
    <w:p w:rsidR="0042058C" w:rsidRPr="0042058C" w:rsidRDefault="0042058C" w:rsidP="0042058C">
      <w:pPr>
        <w:spacing w:after="0"/>
        <w:ind w:left="1146" w:hanging="360"/>
        <w:jc w:val="both"/>
        <w:rPr>
          <w:rFonts w:ascii="Times New Roman" w:eastAsia="Times New Roman" w:hAnsi="Times New Roman" w:cs="Times New Roman"/>
          <w:snapToGrid w:val="0"/>
          <w:sz w:val="28"/>
          <w:szCs w:val="28"/>
          <w:lang w:eastAsia="x-none"/>
        </w:rPr>
      </w:pPr>
    </w:p>
    <w:p w:rsidR="0042058C" w:rsidRPr="0042058C" w:rsidRDefault="0042058C" w:rsidP="009C6893">
      <w:pPr>
        <w:spacing w:after="0"/>
        <w:ind w:firstLine="567"/>
        <w:jc w:val="both"/>
        <w:outlineLvl w:val="0"/>
        <w:rPr>
          <w:rFonts w:ascii="Times New Roman" w:hAnsi="Times New Roman" w:cs="Times New Roman"/>
          <w:color w:val="000000" w:themeColor="text1"/>
          <w:sz w:val="28"/>
          <w:szCs w:val="28"/>
        </w:rPr>
      </w:pPr>
      <w:bookmarkStart w:id="2" w:name="_Toc84245624"/>
      <w:r w:rsidRPr="0042058C">
        <w:rPr>
          <w:rFonts w:ascii="Times New Roman" w:hAnsi="Times New Roman" w:cs="Times New Roman"/>
          <w:b/>
          <w:color w:val="000000" w:themeColor="text1"/>
          <w:sz w:val="28"/>
          <w:szCs w:val="28"/>
        </w:rPr>
        <w:t>Статья 1.</w:t>
      </w:r>
      <w:r w:rsidRPr="0042058C">
        <w:rPr>
          <w:rFonts w:ascii="Times New Roman" w:hAnsi="Times New Roman" w:cs="Times New Roman"/>
          <w:color w:val="000000" w:themeColor="text1"/>
          <w:sz w:val="28"/>
          <w:szCs w:val="28"/>
        </w:rPr>
        <w:t xml:space="preserve"> </w:t>
      </w:r>
      <w:bookmarkEnd w:id="2"/>
      <w:r w:rsidRPr="0042058C">
        <w:rPr>
          <w:rFonts w:ascii="Times New Roman" w:hAnsi="Times New Roman" w:cs="Times New Roman"/>
          <w:b/>
          <w:color w:val="000000" w:themeColor="text1"/>
          <w:sz w:val="28"/>
          <w:szCs w:val="28"/>
        </w:rPr>
        <w:t>Сведения о видах, назначении и наименованиях планируемых для размещения объектов местного значения муниципального округа, их основные характеристики, местоположение, а также характеристики зон с особыми условиями использования территорий</w:t>
      </w:r>
    </w:p>
    <w:p w:rsidR="0042058C" w:rsidRPr="0042058C" w:rsidRDefault="0042058C" w:rsidP="0042058C">
      <w:pPr>
        <w:spacing w:after="0"/>
        <w:jc w:val="center"/>
        <w:outlineLvl w:val="0"/>
        <w:rPr>
          <w:rFonts w:ascii="Times New Roman" w:hAnsi="Times New Roman" w:cs="Times New Roman"/>
          <w:color w:val="000000" w:themeColor="text1"/>
          <w:sz w:val="28"/>
          <w:szCs w:val="28"/>
        </w:rPr>
      </w:pPr>
    </w:p>
    <w:p w:rsidR="00A16097" w:rsidRDefault="00381753" w:rsidP="00381753">
      <w:pPr>
        <w:spacing w:after="0"/>
        <w:ind w:left="567"/>
        <w:jc w:val="right"/>
        <w:outlineLvl w:val="2"/>
        <w:rPr>
          <w:rFonts w:ascii="Times New Roman" w:hAnsi="Times New Roman" w:cs="Times New Roman"/>
          <w:color w:val="000000" w:themeColor="text1"/>
          <w:sz w:val="28"/>
          <w:szCs w:val="28"/>
        </w:rPr>
      </w:pPr>
      <w:bookmarkStart w:id="3" w:name="_Toc464720210"/>
      <w:bookmarkStart w:id="4" w:name="_Toc532057561"/>
      <w:bookmarkStart w:id="5" w:name="_Toc84245626"/>
      <w:r>
        <w:rPr>
          <w:rFonts w:ascii="Times New Roman" w:hAnsi="Times New Roman" w:cs="Times New Roman"/>
          <w:color w:val="000000" w:themeColor="text1"/>
          <w:sz w:val="28"/>
          <w:szCs w:val="28"/>
        </w:rPr>
        <w:lastRenderedPageBreak/>
        <w:t xml:space="preserve">Таблица </w:t>
      </w:r>
      <w:r w:rsidR="0042058C" w:rsidRPr="0042058C">
        <w:rPr>
          <w:rFonts w:ascii="Times New Roman" w:hAnsi="Times New Roman" w:cs="Times New Roman"/>
          <w:color w:val="000000" w:themeColor="text1"/>
          <w:sz w:val="28"/>
          <w:szCs w:val="28"/>
        </w:rPr>
        <w:t>1</w:t>
      </w:r>
    </w:p>
    <w:p w:rsidR="0042058C" w:rsidRDefault="0042058C" w:rsidP="00A16097">
      <w:pPr>
        <w:spacing w:after="0"/>
        <w:ind w:left="567"/>
        <w:jc w:val="center"/>
        <w:outlineLvl w:val="2"/>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образования</w:t>
      </w:r>
      <w:bookmarkEnd w:id="3"/>
      <w:bookmarkEnd w:id="4"/>
      <w:bookmarkEnd w:id="5"/>
    </w:p>
    <w:p w:rsidR="00381753" w:rsidRPr="0042058C" w:rsidRDefault="00381753" w:rsidP="00381753">
      <w:pPr>
        <w:spacing w:after="0"/>
        <w:ind w:left="567"/>
        <w:jc w:val="right"/>
        <w:outlineLvl w:val="2"/>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1415"/>
        <w:gridCol w:w="1785"/>
        <w:gridCol w:w="1384"/>
        <w:gridCol w:w="1459"/>
        <w:gridCol w:w="1034"/>
        <w:gridCol w:w="1285"/>
        <w:gridCol w:w="765"/>
      </w:tblGrid>
      <w:tr w:rsidR="0042058C" w:rsidRPr="0042058C" w:rsidTr="0042058C">
        <w:tc>
          <w:tcPr>
            <w:tcW w:w="20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202" w:type="pct"/>
            <w:shd w:val="clear" w:color="auto" w:fill="auto"/>
            <w:vAlign w:val="center"/>
          </w:tcPr>
          <w:p w:rsidR="0042058C" w:rsidRPr="0042058C" w:rsidRDefault="0042058C" w:rsidP="00953F17">
            <w:pPr>
              <w:numPr>
                <w:ilvl w:val="0"/>
                <w:numId w:val="7"/>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Создание учебно-делового центра развития малого предпринимательства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7"/>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Строительство дошкольного образовательного учреждения </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100 мест</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(2021)</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Новая Кугульта</w:t>
            </w:r>
          </w:p>
        </w:tc>
      </w:tr>
      <w:tr w:rsidR="0042058C" w:rsidRPr="0042058C" w:rsidTr="0042058C">
        <w:tc>
          <w:tcPr>
            <w:tcW w:w="202" w:type="pct"/>
            <w:shd w:val="clear" w:color="auto" w:fill="auto"/>
            <w:vAlign w:val="center"/>
          </w:tcPr>
          <w:p w:rsidR="0042058C" w:rsidRPr="0042058C" w:rsidRDefault="0042058C" w:rsidP="00953F17">
            <w:pPr>
              <w:numPr>
                <w:ilvl w:val="0"/>
                <w:numId w:val="7"/>
              </w:numPr>
              <w:spacing w:after="0" w:line="240" w:lineRule="auto"/>
              <w:contextualSpacing/>
              <w:jc w:val="center"/>
              <w:rPr>
                <w:rFonts w:ascii="Times New Roman" w:hAnsi="Times New Roman" w:cs="Times New Roman"/>
                <w:color w:val="000000" w:themeColor="text1"/>
                <w:sz w:val="20"/>
                <w:szCs w:val="20"/>
              </w:rPr>
            </w:pP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МКДОУ д/с №4 «Калинка»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bl>
    <w:p w:rsidR="0042058C" w:rsidRPr="0042058C" w:rsidRDefault="0042058C" w:rsidP="0042058C">
      <w:pPr>
        <w:spacing w:after="0"/>
        <w:ind w:left="567"/>
        <w:jc w:val="both"/>
        <w:outlineLvl w:val="2"/>
        <w:rPr>
          <w:rFonts w:ascii="Times New Roman" w:hAnsi="Times New Roman" w:cs="Times New Roman"/>
          <w:color w:val="000000" w:themeColor="text1"/>
          <w:sz w:val="28"/>
          <w:szCs w:val="28"/>
        </w:rPr>
      </w:pPr>
      <w:bookmarkStart w:id="6" w:name="_Toc532057563"/>
      <w:bookmarkStart w:id="7" w:name="_Toc84245627"/>
    </w:p>
    <w:p w:rsidR="00A16097" w:rsidRDefault="00381753" w:rsidP="00381753">
      <w:pPr>
        <w:spacing w:after="0"/>
        <w:ind w:firstLine="567"/>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42058C" w:rsidRPr="0042058C">
        <w:rPr>
          <w:rFonts w:ascii="Times New Roman" w:hAnsi="Times New Roman" w:cs="Times New Roman"/>
          <w:color w:val="000000" w:themeColor="text1"/>
          <w:sz w:val="28"/>
          <w:szCs w:val="28"/>
        </w:rPr>
        <w:t>2</w:t>
      </w:r>
    </w:p>
    <w:p w:rsidR="00381753" w:rsidRDefault="0042058C" w:rsidP="00A16097">
      <w:pPr>
        <w:spacing w:after="0"/>
        <w:ind w:firstLine="567"/>
        <w:jc w:val="center"/>
        <w:outlineLvl w:val="2"/>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культуры</w:t>
      </w:r>
      <w:bookmarkEnd w:id="6"/>
      <w:bookmarkEnd w:id="7"/>
    </w:p>
    <w:p w:rsidR="0042058C" w:rsidRPr="0042058C" w:rsidRDefault="0042058C" w:rsidP="00381753">
      <w:pPr>
        <w:spacing w:after="0"/>
        <w:ind w:firstLine="567"/>
        <w:jc w:val="right"/>
        <w:outlineLvl w:val="2"/>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453"/>
        <w:gridCol w:w="1483"/>
        <w:gridCol w:w="1420"/>
        <w:gridCol w:w="1602"/>
        <w:gridCol w:w="1060"/>
        <w:gridCol w:w="1319"/>
        <w:gridCol w:w="782"/>
      </w:tblGrid>
      <w:tr w:rsidR="0042058C" w:rsidRPr="0042058C" w:rsidTr="0042058C">
        <w:tc>
          <w:tcPr>
            <w:tcW w:w="20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Дома культуры</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Создание Центра привлечения талантливой молодежи</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Строительство Клуба участка </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4 СХП ТОО им.М.</w:t>
            </w:r>
            <w:r w:rsidR="0042058C" w:rsidRPr="0042058C">
              <w:rPr>
                <w:rFonts w:ascii="Times New Roman" w:hAnsi="Times New Roman" w:cs="Times New Roman"/>
                <w:color w:val="000000" w:themeColor="text1"/>
                <w:sz w:val="20"/>
                <w:szCs w:val="20"/>
              </w:rPr>
              <w:t>Горьког</w:t>
            </w:r>
            <w:r w:rsidR="0042058C" w:rsidRPr="0042058C">
              <w:rPr>
                <w:rFonts w:ascii="Times New Roman" w:hAnsi="Times New Roman" w:cs="Times New Roman"/>
                <w:color w:val="000000" w:themeColor="text1"/>
                <w:sz w:val="20"/>
                <w:szCs w:val="20"/>
              </w:rPr>
              <w:lastRenderedPageBreak/>
              <w:t>о</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Строительство Клуба участка </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4 СПК «Колхоз им.Ворошилова»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Строительства Клуба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A61FBD">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х.Эммануэлевский</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202" w:type="pct"/>
            <w:shd w:val="clear" w:color="auto" w:fill="auto"/>
            <w:vAlign w:val="center"/>
          </w:tcPr>
          <w:p w:rsidR="0042058C" w:rsidRPr="0042058C" w:rsidRDefault="0042058C" w:rsidP="00953F17">
            <w:pPr>
              <w:numPr>
                <w:ilvl w:val="0"/>
                <w:numId w:val="9"/>
              </w:numPr>
              <w:spacing w:after="0" w:line="240" w:lineRule="auto"/>
              <w:contextualSpacing/>
              <w:jc w:val="center"/>
              <w:rPr>
                <w:rFonts w:ascii="Times New Roman" w:hAnsi="Times New Roman" w:cs="Times New Roman"/>
                <w:color w:val="000000" w:themeColor="text1"/>
                <w:sz w:val="20"/>
                <w:szCs w:val="20"/>
              </w:rPr>
            </w:pP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новых помещений сельского Дома культуры</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bl>
    <w:p w:rsidR="0042058C" w:rsidRPr="0042058C" w:rsidRDefault="0042058C" w:rsidP="0042058C">
      <w:pPr>
        <w:spacing w:after="0"/>
        <w:ind w:left="567"/>
        <w:jc w:val="both"/>
        <w:outlineLvl w:val="2"/>
        <w:rPr>
          <w:rFonts w:ascii="Times New Roman" w:hAnsi="Times New Roman" w:cs="Times New Roman"/>
          <w:color w:val="000000" w:themeColor="text1"/>
          <w:sz w:val="28"/>
          <w:szCs w:val="28"/>
        </w:rPr>
      </w:pPr>
      <w:bookmarkStart w:id="8" w:name="_Toc532057564"/>
      <w:bookmarkStart w:id="9" w:name="_Toc84245628"/>
    </w:p>
    <w:p w:rsidR="00A16097" w:rsidRDefault="0042058C" w:rsidP="00381753">
      <w:pPr>
        <w:spacing w:after="0"/>
        <w:jc w:val="right"/>
        <w:outlineLvl w:val="2"/>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ab/>
      </w:r>
      <w:r w:rsidR="00381753">
        <w:rPr>
          <w:rFonts w:ascii="Times New Roman" w:hAnsi="Times New Roman" w:cs="Times New Roman"/>
          <w:color w:val="000000" w:themeColor="text1"/>
          <w:sz w:val="28"/>
          <w:szCs w:val="28"/>
        </w:rPr>
        <w:t xml:space="preserve"> Таблица </w:t>
      </w:r>
      <w:r w:rsidRPr="0042058C">
        <w:rPr>
          <w:rFonts w:ascii="Times New Roman" w:hAnsi="Times New Roman" w:cs="Times New Roman"/>
          <w:color w:val="000000" w:themeColor="text1"/>
          <w:sz w:val="28"/>
          <w:szCs w:val="28"/>
        </w:rPr>
        <w:t>3</w:t>
      </w:r>
    </w:p>
    <w:p w:rsidR="0042058C" w:rsidRDefault="0042058C" w:rsidP="00A16097">
      <w:pPr>
        <w:spacing w:after="0"/>
        <w:jc w:val="center"/>
        <w:outlineLvl w:val="2"/>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физической культуры и массового спорта</w:t>
      </w:r>
      <w:bookmarkEnd w:id="8"/>
      <w:bookmarkEnd w:id="9"/>
    </w:p>
    <w:p w:rsidR="00381753" w:rsidRPr="0042058C" w:rsidRDefault="00381753" w:rsidP="00381753">
      <w:pPr>
        <w:spacing w:after="0"/>
        <w:jc w:val="right"/>
        <w:outlineLvl w:val="2"/>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1367"/>
        <w:gridCol w:w="1746"/>
        <w:gridCol w:w="1630"/>
        <w:gridCol w:w="1409"/>
        <w:gridCol w:w="1001"/>
        <w:gridCol w:w="1242"/>
        <w:gridCol w:w="742"/>
      </w:tblGrid>
      <w:tr w:rsidR="0042058C" w:rsidRPr="0042058C" w:rsidTr="0042058C">
        <w:tc>
          <w:tcPr>
            <w:tcW w:w="156"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50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стадиона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28409 м</w:t>
            </w:r>
            <w:r w:rsidRPr="0042058C">
              <w:rPr>
                <w:rFonts w:ascii="Times New Roman" w:hAnsi="Times New Roman" w:cs="Times New Roman"/>
                <w:color w:val="000000" w:themeColor="text1"/>
                <w:sz w:val="20"/>
                <w:szCs w:val="20"/>
                <w:vertAlign w:val="superscript"/>
              </w:rPr>
              <w:t>2</w:t>
            </w:r>
            <w:r w:rsidRPr="0042058C">
              <w:rPr>
                <w:rFonts w:ascii="Times New Roman" w:hAnsi="Times New Roman" w:cs="Times New Roman"/>
                <w:color w:val="000000" w:themeColor="text1"/>
                <w:sz w:val="20"/>
                <w:szCs w:val="20"/>
              </w:rPr>
              <w:t xml:space="preserve">, Две трибуны на 1500 чел., Синтетическое футбольное поле 103х60 м. Административное здание с раздевалками, душевыми, беговая дорожка 400 метров с покрытием, комплексная площадка для игровых видов спорта 20х40м., мини-футбольное поле с синтетическим покрытием 24х45 м., спортивная площадка по выполнению нормативов </w:t>
            </w:r>
            <w:r w:rsidRPr="0042058C">
              <w:rPr>
                <w:rFonts w:ascii="Times New Roman" w:hAnsi="Times New Roman" w:cs="Times New Roman"/>
                <w:color w:val="000000" w:themeColor="text1"/>
                <w:sz w:val="20"/>
                <w:szCs w:val="20"/>
              </w:rPr>
              <w:lastRenderedPageBreak/>
              <w:t>ГТО, сектора для прыжков, метаний, мачты освещения, туалеты для зрителей, ограждение.</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с. Донское</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плавательного бассейна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7403+/- 30 м</w:t>
            </w:r>
            <w:r w:rsidRPr="0042058C">
              <w:rPr>
                <w:rFonts w:ascii="Times New Roman" w:hAnsi="Times New Roman" w:cs="Times New Roman"/>
                <w:color w:val="000000" w:themeColor="text1"/>
                <w:sz w:val="20"/>
                <w:szCs w:val="20"/>
                <w:vertAlign w:val="superscript"/>
              </w:rPr>
              <w:t>2</w:t>
            </w:r>
            <w:r w:rsidRPr="0042058C">
              <w:rPr>
                <w:rFonts w:ascii="Times New Roman" w:hAnsi="Times New Roman" w:cs="Times New Roman"/>
                <w:color w:val="000000" w:themeColor="text1"/>
                <w:sz w:val="20"/>
                <w:szCs w:val="20"/>
              </w:rPr>
              <w:t xml:space="preserve"> Здание 2 этажа, размер 29х39м, высота 10 м. Размер основной ванны 11х25м. 4 дорожки. Ванна для детей 10х6м. Пропускная способность бассейна 48 человек.</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Донское, </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ул. Комарова 3в. </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физкультурно- оздоровительного комплекса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–37х88м.Спортивный зал 24х42м., трибуны на 175 чел.</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Донское, </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МКОУ ООШ №6 ул.</w:t>
            </w:r>
            <w:r w:rsidR="0042058C" w:rsidRPr="0042058C">
              <w:rPr>
                <w:rFonts w:ascii="Times New Roman" w:hAnsi="Times New Roman" w:cs="Times New Roman"/>
                <w:color w:val="000000" w:themeColor="text1"/>
                <w:sz w:val="20"/>
                <w:szCs w:val="20"/>
              </w:rPr>
              <w:t>Пролетарская 93а/1</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Донское, </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МБОУ Гимназия №7, пер.</w:t>
            </w:r>
            <w:r w:rsidR="0042058C" w:rsidRPr="0042058C">
              <w:rPr>
                <w:rFonts w:ascii="Times New Roman" w:hAnsi="Times New Roman" w:cs="Times New Roman"/>
                <w:color w:val="000000" w:themeColor="text1"/>
                <w:sz w:val="20"/>
                <w:szCs w:val="20"/>
              </w:rPr>
              <w:t>Донской 38.</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МКУ ДО ДЮСШ ул.Комарова 6а</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спортивного ядра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500 мест</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Безопасное, ул.Ленина 108</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МКОУ СОШ № 3, ул.</w:t>
            </w:r>
            <w:r w:rsidR="0042058C" w:rsidRPr="0042058C">
              <w:rPr>
                <w:rFonts w:ascii="Times New Roman" w:hAnsi="Times New Roman" w:cs="Times New Roman"/>
                <w:color w:val="000000" w:themeColor="text1"/>
                <w:sz w:val="20"/>
                <w:szCs w:val="20"/>
              </w:rPr>
              <w:t>Комарова 3а</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спортивного ядра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500 мест</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w:t>
            </w:r>
            <w:r w:rsidR="0042058C" w:rsidRPr="0042058C">
              <w:rPr>
                <w:rFonts w:ascii="Times New Roman" w:hAnsi="Times New Roman" w:cs="Times New Roman"/>
                <w:color w:val="000000" w:themeColor="text1"/>
                <w:sz w:val="20"/>
                <w:szCs w:val="20"/>
              </w:rPr>
              <w:t>Кирова, ул.Молодежная</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Строительство комплексной спортивной </w:t>
            </w:r>
            <w:r w:rsidRPr="0042058C">
              <w:rPr>
                <w:rFonts w:ascii="Times New Roman" w:hAnsi="Times New Roman" w:cs="Times New Roman"/>
                <w:color w:val="000000" w:themeColor="text1"/>
                <w:sz w:val="20"/>
                <w:szCs w:val="20"/>
              </w:rPr>
              <w:lastRenderedPageBreak/>
              <w:t>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lastRenderedPageBreak/>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п. им.Кирова. МКОУ СОШ № 4 </w:t>
            </w:r>
            <w:r>
              <w:rPr>
                <w:rFonts w:ascii="Times New Roman" w:hAnsi="Times New Roman" w:cs="Times New Roman"/>
                <w:color w:val="000000" w:themeColor="text1"/>
                <w:sz w:val="20"/>
                <w:szCs w:val="20"/>
              </w:rPr>
              <w:lastRenderedPageBreak/>
              <w:t>ул.</w:t>
            </w:r>
            <w:r w:rsidR="0042058C" w:rsidRPr="0042058C">
              <w:rPr>
                <w:rFonts w:ascii="Times New Roman" w:hAnsi="Times New Roman" w:cs="Times New Roman"/>
                <w:color w:val="000000" w:themeColor="text1"/>
                <w:sz w:val="20"/>
                <w:szCs w:val="20"/>
              </w:rPr>
              <w:t>Школьная 28</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Первая очередь (2024-</w:t>
            </w:r>
            <w:r w:rsidRPr="0042058C">
              <w:rPr>
                <w:rFonts w:ascii="Times New Roman" w:hAnsi="Times New Roman" w:cs="Times New Roman"/>
                <w:color w:val="000000" w:themeColor="text1"/>
                <w:sz w:val="20"/>
                <w:szCs w:val="20"/>
              </w:rPr>
              <w:lastRenderedPageBreak/>
              <w:t>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Новая Кугульта</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Новая Кугульта ул.</w:t>
            </w:r>
            <w:r w:rsidR="0042058C" w:rsidRPr="0042058C">
              <w:rPr>
                <w:rFonts w:ascii="Times New Roman" w:hAnsi="Times New Roman" w:cs="Times New Roman"/>
                <w:color w:val="000000" w:themeColor="text1"/>
                <w:sz w:val="20"/>
                <w:szCs w:val="20"/>
              </w:rPr>
              <w:t>Гагарина 20</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Подлесном</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 ул.Садовая 18а</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социальной инфраструктуры</w:t>
            </w: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спортивного ядра</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500 мест</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Труновское, ул.Кузнечная 1г</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с.Труновское, МКОУ СОШ № 2 ул.</w:t>
            </w:r>
            <w:r w:rsidR="0042058C" w:rsidRPr="0042058C">
              <w:rPr>
                <w:rFonts w:ascii="Times New Roman" w:hAnsi="Times New Roman" w:cs="Times New Roman"/>
                <w:color w:val="000000" w:themeColor="text1"/>
                <w:sz w:val="20"/>
                <w:szCs w:val="20"/>
              </w:rPr>
              <w:t>Ленина 11</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с.Труновское, МКОУ ООШ № 8, ул.</w:t>
            </w:r>
            <w:r w:rsidR="0042058C" w:rsidRPr="0042058C">
              <w:rPr>
                <w:rFonts w:ascii="Times New Roman" w:hAnsi="Times New Roman" w:cs="Times New Roman"/>
                <w:color w:val="000000" w:themeColor="text1"/>
                <w:sz w:val="20"/>
                <w:szCs w:val="20"/>
              </w:rPr>
              <w:t>Лермонтова 137</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156" w:type="pct"/>
            <w:shd w:val="clear" w:color="auto" w:fill="auto"/>
            <w:vAlign w:val="center"/>
          </w:tcPr>
          <w:p w:rsidR="0042058C" w:rsidRPr="0042058C" w:rsidRDefault="0042058C" w:rsidP="00953F17">
            <w:pPr>
              <w:numPr>
                <w:ilvl w:val="0"/>
                <w:numId w:val="8"/>
              </w:numPr>
              <w:spacing w:after="0" w:line="240" w:lineRule="auto"/>
              <w:contextualSpacing/>
              <w:jc w:val="center"/>
              <w:rPr>
                <w:rFonts w:ascii="Times New Roman" w:hAnsi="Times New Roman" w:cs="Times New Roman"/>
                <w:color w:val="000000" w:themeColor="text1"/>
                <w:sz w:val="20"/>
                <w:szCs w:val="20"/>
              </w:rPr>
            </w:pPr>
          </w:p>
        </w:tc>
        <w:tc>
          <w:tcPr>
            <w:tcW w:w="503"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83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комплексной спортивной площадки в общеобразовательном учреждении</w:t>
            </w:r>
          </w:p>
        </w:tc>
        <w:tc>
          <w:tcPr>
            <w:tcW w:w="166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S</w:t>
            </w:r>
            <w:r w:rsidRPr="0042058C">
              <w:rPr>
                <w:rFonts w:ascii="Times New Roman" w:hAnsi="Times New Roman" w:cs="Times New Roman"/>
                <w:color w:val="000000" w:themeColor="text1"/>
                <w:sz w:val="20"/>
                <w:szCs w:val="20"/>
              </w:rPr>
              <w:t xml:space="preserve"> – 20х40 м.</w:t>
            </w:r>
          </w:p>
        </w:tc>
        <w:tc>
          <w:tcPr>
            <w:tcW w:w="629" w:type="pct"/>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с.Труновское, МКОУ ООШ № 9, ул.</w:t>
            </w:r>
            <w:r w:rsidR="0042058C" w:rsidRPr="0042058C">
              <w:rPr>
                <w:rFonts w:ascii="Times New Roman" w:hAnsi="Times New Roman" w:cs="Times New Roman"/>
                <w:color w:val="000000" w:themeColor="text1"/>
                <w:sz w:val="20"/>
                <w:szCs w:val="20"/>
              </w:rPr>
              <w:t>Ленина 130</w:t>
            </w:r>
          </w:p>
        </w:tc>
        <w:tc>
          <w:tcPr>
            <w:tcW w:w="4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(2024-2031)</w:t>
            </w:r>
          </w:p>
        </w:tc>
        <w:tc>
          <w:tcPr>
            <w:tcW w:w="523"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26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bl>
    <w:p w:rsidR="009C6893" w:rsidRDefault="009C6893" w:rsidP="009C6893">
      <w:pPr>
        <w:spacing w:after="0" w:line="240" w:lineRule="auto"/>
        <w:jc w:val="both"/>
        <w:outlineLvl w:val="1"/>
        <w:rPr>
          <w:rFonts w:ascii="Times New Roman" w:hAnsi="Times New Roman" w:cs="Times New Roman"/>
          <w:color w:val="000000" w:themeColor="text1"/>
          <w:sz w:val="28"/>
          <w:szCs w:val="28"/>
        </w:rPr>
      </w:pPr>
      <w:bookmarkStart w:id="10" w:name="_Toc532057568"/>
      <w:bookmarkStart w:id="11" w:name="_Toc84245629"/>
    </w:p>
    <w:p w:rsidR="00A16097" w:rsidRDefault="0042058C" w:rsidP="00381753">
      <w:pPr>
        <w:spacing w:after="0"/>
        <w:jc w:val="right"/>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ab/>
      </w:r>
      <w:r w:rsidR="00381753">
        <w:rPr>
          <w:rFonts w:ascii="Times New Roman" w:hAnsi="Times New Roman" w:cs="Times New Roman"/>
          <w:color w:val="000000" w:themeColor="text1"/>
          <w:sz w:val="28"/>
          <w:szCs w:val="28"/>
        </w:rPr>
        <w:t xml:space="preserve"> Таблица 4</w:t>
      </w:r>
    </w:p>
    <w:p w:rsidR="0042058C" w:rsidRDefault="0042058C" w:rsidP="00A16097">
      <w:pPr>
        <w:spacing w:after="0"/>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транспортной инфраструктуры</w:t>
      </w:r>
      <w:bookmarkEnd w:id="10"/>
      <w:bookmarkEnd w:id="11"/>
    </w:p>
    <w:p w:rsidR="00381753" w:rsidRPr="0042058C" w:rsidRDefault="00381753" w:rsidP="00381753">
      <w:pPr>
        <w:spacing w:after="0"/>
        <w:jc w:val="right"/>
        <w:outlineLvl w:val="1"/>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1364"/>
        <w:gridCol w:w="1653"/>
        <w:gridCol w:w="1334"/>
        <w:gridCol w:w="1805"/>
        <w:gridCol w:w="999"/>
        <w:gridCol w:w="1240"/>
        <w:gridCol w:w="741"/>
      </w:tblGrid>
      <w:tr w:rsidR="0042058C" w:rsidRPr="0042058C" w:rsidTr="0042058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w:t>
            </w:r>
            <w:r w:rsidRPr="0042058C">
              <w:rPr>
                <w:rFonts w:ascii="Times New Roman" w:hAnsi="Times New Roman" w:cs="Times New Roman"/>
                <w:color w:val="000000" w:themeColor="text1"/>
                <w:sz w:val="20"/>
                <w:szCs w:val="20"/>
              </w:rPr>
              <w:lastRenderedPageBreak/>
              <w:t>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Реконструкция</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автомобильной дороги Объездная села Труновское с </w:t>
            </w:r>
            <w:r w:rsidRPr="0042058C">
              <w:rPr>
                <w:rFonts w:ascii="Times New Roman" w:hAnsi="Times New Roman" w:cs="Times New Roman"/>
                <w:color w:val="000000" w:themeColor="text1"/>
                <w:sz w:val="20"/>
                <w:szCs w:val="20"/>
              </w:rPr>
              <w:lastRenderedPageBreak/>
              <w:t>ориентирами от трассы Донское – Кирова до трассы Труновское - Ключевское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Протяженность – 2,953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автодороги п.им. Кирова – п.</w:t>
            </w:r>
            <w:r w:rsidR="0042058C" w:rsidRPr="0042058C">
              <w:rPr>
                <w:rFonts w:ascii="Times New Roman" w:hAnsi="Times New Roman" w:cs="Times New Roman"/>
                <w:color w:val="000000" w:themeColor="text1"/>
                <w:sz w:val="20"/>
                <w:szCs w:val="20"/>
              </w:rPr>
              <w:t>Сухой Лог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7,6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автодороги с. Труновское – Новая Кугульта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12,11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автодороги п.</w:t>
            </w:r>
            <w:r w:rsidR="0042058C" w:rsidRPr="0042058C">
              <w:rPr>
                <w:rFonts w:ascii="Times New Roman" w:hAnsi="Times New Roman" w:cs="Times New Roman"/>
                <w:color w:val="000000" w:themeColor="text1"/>
                <w:sz w:val="20"/>
                <w:szCs w:val="20"/>
              </w:rPr>
              <w:t>им. Кирова – п.Правоегорлыкский с выходом на с.Добровольное Ипатовского городского округа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16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w:t>
            </w:r>
          </w:p>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автодороги с.</w:t>
            </w:r>
            <w:r w:rsidR="0042058C" w:rsidRPr="0042058C">
              <w:rPr>
                <w:rFonts w:ascii="Times New Roman" w:hAnsi="Times New Roman" w:cs="Times New Roman"/>
                <w:color w:val="000000" w:themeColor="text1"/>
                <w:sz w:val="20"/>
                <w:szCs w:val="20"/>
              </w:rPr>
              <w:t>Безопасное – с.Подлесное с выходом на автодорогу Ипатово -Тахта Ипатовского городского округа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20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подъезда к селу Новая Кугульта, от автомобильной дороги «Безопасное – Подлесное» на участке км 6+690 - км 7+570»</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0,88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с.Труновское – с. Безопасное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17,5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автомобильной дороги «Труновское - Ключевское» на участке км 6+170 - км 0+000»</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6,17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автомобильной дороги ул. Крестьянская на участке км </w:t>
            </w:r>
            <w:r w:rsidRPr="0042058C">
              <w:rPr>
                <w:rFonts w:ascii="Times New Roman" w:hAnsi="Times New Roman" w:cs="Times New Roman"/>
                <w:color w:val="000000" w:themeColor="text1"/>
                <w:sz w:val="20"/>
                <w:szCs w:val="20"/>
              </w:rPr>
              <w:lastRenderedPageBreak/>
              <w:t>0+070 - км 3+020»</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Протяженность – 2,95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автомобильной дороги автомобильной дороги по ул.Крестьянская на участке км 3+020 - км 4+380»</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1,36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автомобильной дороги Рябухин - Безопасное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автомобильной дороги Подъезд к селу М. Кугульта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1,19 км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Московская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 на участке км 0+000 - км 4+982»</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4,982 км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Ленина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 на участке км 0+000 - км 1+236»</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1,236 км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Школьный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 на участке км 0+000 - км 0+390»</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0,39 км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Московская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 на участке км 0+000 – км 0+434»</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0,434 км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Репина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A61FBD"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Мира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Донское, </w:t>
            </w:r>
            <w:r w:rsidR="006A1BB6">
              <w:rPr>
                <w:rFonts w:ascii="Times New Roman" w:hAnsi="Times New Roman" w:cs="Times New Roman"/>
                <w:color w:val="000000" w:themeColor="text1"/>
                <w:sz w:val="20"/>
                <w:szCs w:val="20"/>
              </w:rPr>
              <w:t>ул.</w:t>
            </w:r>
            <w:r w:rsidRPr="0042058C">
              <w:rPr>
                <w:rFonts w:ascii="Times New Roman" w:hAnsi="Times New Roman" w:cs="Times New Roman"/>
                <w:color w:val="000000" w:themeColor="text1"/>
                <w:sz w:val="20"/>
                <w:szCs w:val="20"/>
              </w:rPr>
              <w:t>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w:t>
            </w:r>
            <w:r w:rsidRPr="0042058C">
              <w:rPr>
                <w:rFonts w:ascii="Times New Roman" w:hAnsi="Times New Roman" w:cs="Times New Roman"/>
                <w:color w:val="000000" w:themeColor="text1"/>
                <w:sz w:val="20"/>
                <w:szCs w:val="20"/>
              </w:rPr>
              <w:lastRenderedPageBreak/>
              <w:t>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w:t>
            </w:r>
            <w:r w:rsidRPr="0042058C">
              <w:rPr>
                <w:rFonts w:ascii="Times New Roman" w:hAnsi="Times New Roman" w:cs="Times New Roman"/>
                <w:color w:val="000000" w:themeColor="text1"/>
                <w:sz w:val="20"/>
                <w:szCs w:val="20"/>
              </w:rPr>
              <w:lastRenderedPageBreak/>
              <w:t>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с. Донское, </w:t>
            </w:r>
            <w:r>
              <w:rPr>
                <w:rFonts w:ascii="Times New Roman" w:hAnsi="Times New Roman" w:cs="Times New Roman"/>
                <w:color w:val="000000" w:themeColor="text1"/>
                <w:sz w:val="20"/>
                <w:szCs w:val="20"/>
              </w:rPr>
              <w:lastRenderedPageBreak/>
              <w:t>ул.</w:t>
            </w:r>
            <w:r w:rsidR="0042058C" w:rsidRPr="0042058C">
              <w:rPr>
                <w:rFonts w:ascii="Times New Roman" w:hAnsi="Times New Roman" w:cs="Times New Roman"/>
                <w:color w:val="000000" w:themeColor="text1"/>
                <w:sz w:val="20"/>
                <w:szCs w:val="20"/>
              </w:rPr>
              <w:t>Кавказская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Первая </w:t>
            </w:r>
            <w:r w:rsidRPr="0042058C">
              <w:rPr>
                <w:rFonts w:ascii="Times New Roman" w:hAnsi="Times New Roman" w:cs="Times New Roman"/>
                <w:color w:val="000000" w:themeColor="text1"/>
                <w:sz w:val="20"/>
                <w:szCs w:val="20"/>
              </w:rPr>
              <w:lastRenderedPageBreak/>
              <w:t>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ул.Комсомольская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Красная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Советская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ул.Пролетарская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Высоцкого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Мостовая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Горького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Валькова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Кольцевая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Лесная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Громакова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Победы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Подгорная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автодороги местного </w:t>
            </w:r>
            <w:r w:rsidRPr="0042058C">
              <w:rPr>
                <w:rFonts w:ascii="Times New Roman" w:hAnsi="Times New Roman" w:cs="Times New Roman"/>
                <w:color w:val="000000" w:themeColor="text1"/>
                <w:sz w:val="20"/>
                <w:szCs w:val="20"/>
              </w:rPr>
              <w:lastRenderedPageBreak/>
              <w:t>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0" w:type="auto"/>
            <w:shd w:val="clear" w:color="auto" w:fill="auto"/>
            <w:vAlign w:val="center"/>
          </w:tcPr>
          <w:p w:rsidR="0042058C" w:rsidRPr="0042058C" w:rsidRDefault="006A1BB6"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Строителей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Павлова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Тимирязева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w:t>
            </w:r>
            <w:r w:rsidR="002E5F93">
              <w:rPr>
                <w:rFonts w:ascii="Times New Roman" w:hAnsi="Times New Roman" w:cs="Times New Roman"/>
                <w:color w:val="000000" w:themeColor="text1"/>
                <w:sz w:val="20"/>
                <w:szCs w:val="20"/>
              </w:rPr>
              <w:t>ское, ул.</w:t>
            </w:r>
            <w:r w:rsidRPr="0042058C">
              <w:rPr>
                <w:rFonts w:ascii="Times New Roman" w:hAnsi="Times New Roman" w:cs="Times New Roman"/>
                <w:color w:val="000000" w:themeColor="text1"/>
                <w:sz w:val="20"/>
                <w:szCs w:val="20"/>
              </w:rPr>
              <w:t>Юбилейная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Вавилова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Ломоносова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Матросова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ул.Октябрьская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ул.Первомайская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ул.Партизанская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Южный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пер.Свободный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Северная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Светлая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пер.Рабочий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Дружбы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w:t>
            </w:r>
            <w:r w:rsidRPr="0042058C">
              <w:rPr>
                <w:rFonts w:ascii="Times New Roman" w:hAnsi="Times New Roman" w:cs="Times New Roman"/>
                <w:color w:val="000000" w:themeColor="text1"/>
                <w:sz w:val="20"/>
                <w:szCs w:val="20"/>
              </w:rPr>
              <w:lastRenderedPageBreak/>
              <w:t>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w:t>
            </w:r>
            <w:r w:rsidRPr="0042058C">
              <w:rPr>
                <w:rFonts w:ascii="Times New Roman" w:hAnsi="Times New Roman" w:cs="Times New Roman"/>
                <w:color w:val="000000" w:themeColor="text1"/>
                <w:sz w:val="20"/>
                <w:szCs w:val="20"/>
              </w:rPr>
              <w:lastRenderedPageBreak/>
              <w:t>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с. Донское, </w:t>
            </w:r>
            <w:r>
              <w:rPr>
                <w:rFonts w:ascii="Times New Roman" w:hAnsi="Times New Roman" w:cs="Times New Roman"/>
                <w:color w:val="000000" w:themeColor="text1"/>
                <w:sz w:val="20"/>
                <w:szCs w:val="20"/>
              </w:rPr>
              <w:lastRenderedPageBreak/>
              <w:t>пер.</w:t>
            </w:r>
            <w:r w:rsidR="0042058C" w:rsidRPr="0042058C">
              <w:rPr>
                <w:rFonts w:ascii="Times New Roman" w:hAnsi="Times New Roman" w:cs="Times New Roman"/>
                <w:color w:val="000000" w:themeColor="text1"/>
                <w:sz w:val="20"/>
                <w:szCs w:val="20"/>
              </w:rPr>
              <w:t>Советский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Первая </w:t>
            </w:r>
            <w:r w:rsidRPr="0042058C">
              <w:rPr>
                <w:rFonts w:ascii="Times New Roman" w:hAnsi="Times New Roman" w:cs="Times New Roman"/>
                <w:color w:val="000000" w:themeColor="text1"/>
                <w:sz w:val="20"/>
                <w:szCs w:val="20"/>
              </w:rPr>
              <w:lastRenderedPageBreak/>
              <w:t>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Луговая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Нагорная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Лермонтова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Невдахина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Новоселов</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Пушкина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ул.Ставропольская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w:t>
            </w:r>
            <w:r w:rsidR="002E5F93">
              <w:rPr>
                <w:rFonts w:ascii="Times New Roman" w:hAnsi="Times New Roman" w:cs="Times New Roman"/>
                <w:color w:val="000000" w:themeColor="text1"/>
                <w:sz w:val="20"/>
                <w:szCs w:val="20"/>
              </w:rPr>
              <w:t>кое, ул.</w:t>
            </w:r>
            <w:r w:rsidRPr="0042058C">
              <w:rPr>
                <w:rFonts w:ascii="Times New Roman" w:hAnsi="Times New Roman" w:cs="Times New Roman"/>
                <w:color w:val="000000" w:themeColor="text1"/>
                <w:sz w:val="20"/>
                <w:szCs w:val="20"/>
              </w:rPr>
              <w:t>Трунова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Суворова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Хоперская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Асеева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Донской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ул.Л.</w:t>
            </w:r>
            <w:r w:rsidR="0042058C" w:rsidRPr="0042058C">
              <w:rPr>
                <w:rFonts w:ascii="Times New Roman" w:hAnsi="Times New Roman" w:cs="Times New Roman"/>
                <w:color w:val="000000" w:themeColor="text1"/>
                <w:sz w:val="20"/>
                <w:szCs w:val="20"/>
              </w:rPr>
              <w:t>Толстого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ул.Транспортная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автодороги местного </w:t>
            </w:r>
            <w:r w:rsidRPr="0042058C">
              <w:rPr>
                <w:rFonts w:ascii="Times New Roman" w:hAnsi="Times New Roman" w:cs="Times New Roman"/>
                <w:color w:val="000000" w:themeColor="text1"/>
                <w:sz w:val="20"/>
                <w:szCs w:val="20"/>
              </w:rPr>
              <w:lastRenderedPageBreak/>
              <w:t>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пр.Дзержинского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Титова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пер.Атаманский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Королева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ул.Ворошилова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 Невдахин, ул.Молодежная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Шестакова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Узкий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пер.Черкасский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пер.Совхозный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Дорожный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Казачий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пер.Малоштанова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Песочный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пер.Мелиораторов</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пер.</w:t>
            </w:r>
            <w:r w:rsidR="0042058C" w:rsidRPr="0042058C">
              <w:rPr>
                <w:rFonts w:ascii="Times New Roman" w:hAnsi="Times New Roman" w:cs="Times New Roman"/>
                <w:color w:val="000000" w:themeColor="text1"/>
                <w:sz w:val="20"/>
                <w:szCs w:val="20"/>
              </w:rPr>
              <w:t>Новый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w:t>
            </w:r>
            <w:r w:rsidRPr="0042058C">
              <w:rPr>
                <w:rFonts w:ascii="Times New Roman" w:hAnsi="Times New Roman" w:cs="Times New Roman"/>
                <w:color w:val="000000" w:themeColor="text1"/>
                <w:sz w:val="20"/>
                <w:szCs w:val="20"/>
              </w:rPr>
              <w:lastRenderedPageBreak/>
              <w:t>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w:t>
            </w:r>
            <w:r w:rsidRPr="0042058C">
              <w:rPr>
                <w:rFonts w:ascii="Times New Roman" w:hAnsi="Times New Roman" w:cs="Times New Roman"/>
                <w:color w:val="000000" w:themeColor="text1"/>
                <w:sz w:val="20"/>
                <w:szCs w:val="20"/>
              </w:rPr>
              <w:lastRenderedPageBreak/>
              <w:t>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с. Донское, </w:t>
            </w:r>
            <w:r w:rsidRPr="0042058C">
              <w:rPr>
                <w:rFonts w:ascii="Times New Roman" w:hAnsi="Times New Roman" w:cs="Times New Roman"/>
                <w:color w:val="000000" w:themeColor="text1"/>
                <w:sz w:val="20"/>
                <w:szCs w:val="20"/>
              </w:rPr>
              <w:lastRenderedPageBreak/>
              <w:t>пер.Больничный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Расчетн</w:t>
            </w:r>
            <w:r w:rsidRPr="0042058C">
              <w:rPr>
                <w:rFonts w:ascii="Times New Roman" w:hAnsi="Times New Roman" w:cs="Times New Roman"/>
                <w:color w:val="000000" w:themeColor="text1"/>
                <w:sz w:val="20"/>
                <w:szCs w:val="20"/>
              </w:rPr>
              <w:lastRenderedPageBreak/>
              <w:t>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пер.Пионерский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ул.Автомобилистов</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пер.Правоегорлыкский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Восточная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Глинная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Западная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Зеленая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ул.Кооперативная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Заводская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Заречная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ул.Индустриальная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Калинина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Донское, ул.</w:t>
            </w:r>
            <w:r w:rsidR="0042058C" w:rsidRPr="0042058C">
              <w:rPr>
                <w:rFonts w:ascii="Times New Roman" w:hAnsi="Times New Roman" w:cs="Times New Roman"/>
                <w:color w:val="000000" w:themeColor="text1"/>
                <w:sz w:val="20"/>
                <w:szCs w:val="20"/>
              </w:rPr>
              <w:t>Комарова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ул.Коммунистическая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(2040)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 xml:space="preserve">Обеспечение объектами </w:t>
            </w:r>
            <w:r w:rsidRPr="0042058C">
              <w:rPr>
                <w:rFonts w:ascii="Times New Roman" w:hAnsi="Times New Roman" w:cs="Times New Roman"/>
                <w:color w:val="000000" w:themeColor="text1"/>
                <w:sz w:val="20"/>
                <w:szCs w:val="20"/>
              </w:rPr>
              <w:lastRenderedPageBreak/>
              <w:t>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Реконструкция моста через реку </w:t>
            </w:r>
            <w:r w:rsidRPr="0042058C">
              <w:rPr>
                <w:rFonts w:ascii="Times New Roman" w:hAnsi="Times New Roman" w:cs="Times New Roman"/>
                <w:color w:val="000000" w:themeColor="text1"/>
                <w:sz w:val="20"/>
                <w:szCs w:val="20"/>
              </w:rPr>
              <w:lastRenderedPageBreak/>
              <w:t>Терновка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 60 лет Октября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ул.Партизанская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 Степной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пер.Молодежный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ул.Комсомольская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w:t>
            </w:r>
            <w:r w:rsidR="002E5F93">
              <w:rPr>
                <w:rFonts w:ascii="Times New Roman" w:hAnsi="Times New Roman" w:cs="Times New Roman"/>
                <w:color w:val="000000" w:themeColor="text1"/>
                <w:sz w:val="20"/>
                <w:szCs w:val="20"/>
              </w:rPr>
              <w:t>.</w:t>
            </w:r>
            <w:r w:rsidRPr="0042058C">
              <w:rPr>
                <w:rFonts w:ascii="Times New Roman" w:hAnsi="Times New Roman" w:cs="Times New Roman"/>
                <w:color w:val="000000" w:themeColor="text1"/>
                <w:sz w:val="20"/>
                <w:szCs w:val="20"/>
              </w:rPr>
              <w:t>Колхозная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Безопасное, ул.</w:t>
            </w:r>
            <w:r w:rsidR="0042058C" w:rsidRPr="0042058C">
              <w:rPr>
                <w:rFonts w:ascii="Times New Roman" w:hAnsi="Times New Roman" w:cs="Times New Roman"/>
                <w:color w:val="000000" w:themeColor="text1"/>
                <w:sz w:val="20"/>
                <w:szCs w:val="20"/>
              </w:rPr>
              <w:t>Ипатова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Безопасное, </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 М. Горький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Безопасное, ул.</w:t>
            </w:r>
            <w:r w:rsidR="0042058C" w:rsidRPr="0042058C">
              <w:rPr>
                <w:rFonts w:ascii="Times New Roman" w:hAnsi="Times New Roman" w:cs="Times New Roman"/>
                <w:color w:val="000000" w:themeColor="text1"/>
                <w:sz w:val="20"/>
                <w:szCs w:val="20"/>
              </w:rPr>
              <w:t>Верхняя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ул.Комарова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ул.Ленина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ул.Трунова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пер.Егорлыкский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пер.Курганный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w:t>
            </w:r>
            <w:r w:rsidRPr="0042058C">
              <w:rPr>
                <w:rFonts w:ascii="Times New Roman" w:hAnsi="Times New Roman" w:cs="Times New Roman"/>
                <w:color w:val="000000" w:themeColor="text1"/>
                <w:sz w:val="20"/>
                <w:szCs w:val="20"/>
              </w:rPr>
              <w:lastRenderedPageBreak/>
              <w:t>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w:t>
            </w:r>
            <w:r w:rsidRPr="0042058C">
              <w:rPr>
                <w:rFonts w:ascii="Times New Roman" w:hAnsi="Times New Roman" w:cs="Times New Roman"/>
                <w:color w:val="000000" w:themeColor="text1"/>
                <w:sz w:val="20"/>
                <w:szCs w:val="20"/>
              </w:rPr>
              <w:lastRenderedPageBreak/>
              <w:t>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с. Безопасное, </w:t>
            </w:r>
            <w:r w:rsidRPr="0042058C">
              <w:rPr>
                <w:rFonts w:ascii="Times New Roman" w:hAnsi="Times New Roman" w:cs="Times New Roman"/>
                <w:color w:val="000000" w:themeColor="text1"/>
                <w:sz w:val="20"/>
                <w:szCs w:val="20"/>
              </w:rPr>
              <w:lastRenderedPageBreak/>
              <w:t>ул.Артезианская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Первая </w:t>
            </w:r>
            <w:r w:rsidRPr="0042058C">
              <w:rPr>
                <w:rFonts w:ascii="Times New Roman" w:hAnsi="Times New Roman" w:cs="Times New Roman"/>
                <w:color w:val="000000" w:themeColor="text1"/>
                <w:sz w:val="20"/>
                <w:szCs w:val="20"/>
              </w:rPr>
              <w:lastRenderedPageBreak/>
              <w:t>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 Почтовый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пер.Спортивный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пер. Северный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ул.Калинина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ул.Промышленная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Безопасное, ул.</w:t>
            </w:r>
            <w:r w:rsidR="0042058C" w:rsidRPr="0042058C">
              <w:rPr>
                <w:rFonts w:ascii="Times New Roman" w:hAnsi="Times New Roman" w:cs="Times New Roman"/>
                <w:color w:val="000000" w:themeColor="text1"/>
                <w:sz w:val="20"/>
                <w:szCs w:val="20"/>
              </w:rPr>
              <w:t>Шпака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ул.Лермонтова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ул.Октябрьская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Безопасное, ул.</w:t>
            </w:r>
            <w:r w:rsidR="0042058C" w:rsidRPr="0042058C">
              <w:rPr>
                <w:rFonts w:ascii="Times New Roman" w:hAnsi="Times New Roman" w:cs="Times New Roman"/>
                <w:color w:val="000000" w:themeColor="text1"/>
                <w:sz w:val="20"/>
                <w:szCs w:val="20"/>
              </w:rPr>
              <w:t>Парковая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ул.Молодежная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ул.Ташлянская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ул.Ставропольская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ул.Пролетарская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автодороги местного </w:t>
            </w:r>
            <w:r w:rsidRPr="0042058C">
              <w:rPr>
                <w:rFonts w:ascii="Times New Roman" w:hAnsi="Times New Roman" w:cs="Times New Roman"/>
                <w:color w:val="000000" w:themeColor="text1"/>
                <w:sz w:val="20"/>
                <w:szCs w:val="20"/>
              </w:rPr>
              <w:lastRenderedPageBreak/>
              <w:t>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ул.30 лет Победы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ул.Новая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ул.Егорлыкская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ул.Апанасенко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ул.Красноармейская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ул.Южная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ул.Ленина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ул.50 лет Октября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42058C" w:rsidRPr="0042058C">
              <w:rPr>
                <w:rFonts w:ascii="Times New Roman" w:hAnsi="Times New Roman" w:cs="Times New Roman"/>
                <w:color w:val="000000" w:themeColor="text1"/>
                <w:sz w:val="20"/>
                <w:szCs w:val="20"/>
              </w:rPr>
              <w:t>Новотерновский, ул. Зои Космодемьянской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42058C" w:rsidRPr="0042058C">
              <w:rPr>
                <w:rFonts w:ascii="Times New Roman" w:hAnsi="Times New Roman" w:cs="Times New Roman"/>
                <w:color w:val="000000" w:themeColor="text1"/>
                <w:sz w:val="20"/>
                <w:szCs w:val="20"/>
              </w:rPr>
              <w:t>Новотерновский, ул.Пушкина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2E5F93">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ул.Пушкина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 Шоссейная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ул.Спортивная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ул.Молодежная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Комарова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Нижняя Терновка, ул.Луговая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Кирова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Проезд к школе</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60 лет Октября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40 лет Победы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Нижняя Терновка, ул.Мира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Сухой Лог, ул.</w:t>
            </w:r>
            <w:r w:rsidR="0042058C" w:rsidRPr="0042058C">
              <w:rPr>
                <w:rFonts w:ascii="Times New Roman" w:hAnsi="Times New Roman" w:cs="Times New Roman"/>
                <w:color w:val="000000" w:themeColor="text1"/>
                <w:sz w:val="20"/>
                <w:szCs w:val="20"/>
              </w:rPr>
              <w:t>50 лет Октября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Объездная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Звездная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ул.Кооперативная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Новая Кугульта</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890 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 ул.Трунова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1700 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 ул.Садовая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Подлесном</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 ул.Октябрьская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Проезд мех.ток – подстанция, ул</w:t>
            </w:r>
            <w:r w:rsidR="002E5F93">
              <w:rPr>
                <w:rFonts w:ascii="Times New Roman" w:hAnsi="Times New Roman" w:cs="Times New Roman"/>
                <w:color w:val="000000" w:themeColor="text1"/>
                <w:sz w:val="20"/>
                <w:szCs w:val="20"/>
              </w:rPr>
              <w:t>.</w:t>
            </w:r>
            <w:r w:rsidRPr="0042058C">
              <w:rPr>
                <w:rFonts w:ascii="Times New Roman" w:hAnsi="Times New Roman" w:cs="Times New Roman"/>
                <w:color w:val="000000" w:themeColor="text1"/>
                <w:sz w:val="20"/>
                <w:szCs w:val="20"/>
              </w:rPr>
              <w:t>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r w:rsidR="002E5F93">
              <w:rPr>
                <w:rFonts w:ascii="Times New Roman" w:hAnsi="Times New Roman" w:cs="Times New Roman"/>
                <w:color w:val="000000" w:themeColor="text1"/>
                <w:sz w:val="20"/>
                <w:szCs w:val="20"/>
              </w:rPr>
              <w:t>роезд мех.ток – подстанция, ул.</w:t>
            </w:r>
            <w:r w:rsidRPr="0042058C">
              <w:rPr>
                <w:rFonts w:ascii="Times New Roman" w:hAnsi="Times New Roman" w:cs="Times New Roman"/>
                <w:color w:val="000000" w:themeColor="text1"/>
                <w:sz w:val="20"/>
                <w:szCs w:val="20"/>
              </w:rPr>
              <w:t>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Проезд мех.ток – подстанци</w:t>
            </w:r>
            <w:r w:rsidR="002E5F93">
              <w:rPr>
                <w:rFonts w:ascii="Times New Roman" w:hAnsi="Times New Roman" w:cs="Times New Roman"/>
                <w:color w:val="000000" w:themeColor="text1"/>
                <w:sz w:val="20"/>
                <w:szCs w:val="20"/>
              </w:rPr>
              <w:t>я, ул.</w:t>
            </w:r>
            <w:r w:rsidRPr="0042058C">
              <w:rPr>
                <w:rFonts w:ascii="Times New Roman" w:hAnsi="Times New Roman" w:cs="Times New Roman"/>
                <w:color w:val="000000" w:themeColor="text1"/>
                <w:sz w:val="20"/>
                <w:szCs w:val="20"/>
              </w:rPr>
              <w:t>Южная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r w:rsidR="002E5F93">
              <w:rPr>
                <w:rFonts w:ascii="Times New Roman" w:hAnsi="Times New Roman" w:cs="Times New Roman"/>
                <w:color w:val="000000" w:themeColor="text1"/>
                <w:sz w:val="20"/>
                <w:szCs w:val="20"/>
              </w:rPr>
              <w:t>роезд мех.ток – подстанция, ул.</w:t>
            </w:r>
            <w:r w:rsidRPr="0042058C">
              <w:rPr>
                <w:rFonts w:ascii="Times New Roman" w:hAnsi="Times New Roman" w:cs="Times New Roman"/>
                <w:color w:val="000000" w:themeColor="text1"/>
                <w:sz w:val="20"/>
                <w:szCs w:val="20"/>
              </w:rPr>
              <w:t>Молодежная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Пушкина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Зеленая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 ул.Первомайская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Южная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Трунова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(2027)</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 ул.Молодежная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Пинчукова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Садовая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(2029)</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Подлесное, ул.</w:t>
            </w:r>
            <w:r w:rsidR="0042058C" w:rsidRPr="0042058C">
              <w:rPr>
                <w:rFonts w:ascii="Times New Roman" w:hAnsi="Times New Roman" w:cs="Times New Roman"/>
                <w:color w:val="000000" w:themeColor="text1"/>
                <w:sz w:val="20"/>
                <w:szCs w:val="20"/>
              </w:rPr>
              <w:t>Комарова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транспортной инфраструктуры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Размещение объектов придорожного сервиса на участке автомобильной дороги Изобильное – Кирова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Территориальное управление в селе Труновском, </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к.у. 26:05:051301</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1,68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по ул.Гагарина (от ул. Партизанская)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1,19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по ул. Ленина (от ул. Чкалова)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0,1 км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по ул.Партизанская (от ул.Гагарина)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по пер.Комсомольский (от ул.Гагарина)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ул.Лермонтова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ул.Мельничная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пер.Школьный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Северная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ул.Пионерская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Гагарина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Мира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ул.Партизанская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(2028)</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 Пушкина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пер.Фурманова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Ленина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Зольская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(2030)</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Реконструкция автодороги </w:t>
            </w:r>
            <w:r w:rsidRPr="0042058C">
              <w:rPr>
                <w:rFonts w:ascii="Times New Roman" w:hAnsi="Times New Roman" w:cs="Times New Roman"/>
                <w:color w:val="000000" w:themeColor="text1"/>
                <w:sz w:val="20"/>
                <w:szCs w:val="20"/>
              </w:rPr>
              <w:lastRenderedPageBreak/>
              <w:t>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пер.Пограничный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Первая очередь </w:t>
            </w:r>
            <w:r w:rsidRPr="0042058C">
              <w:rPr>
                <w:rFonts w:ascii="Times New Roman" w:hAnsi="Times New Roman" w:cs="Times New Roman"/>
                <w:color w:val="000000" w:themeColor="text1"/>
                <w:sz w:val="20"/>
                <w:szCs w:val="20"/>
              </w:rPr>
              <w:lastRenderedPageBreak/>
              <w:t>(2031)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 Садовый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пер.Строительный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(2031)</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пер.Учительский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пер. Славный</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ул.Пролетарская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ул.Кооперативная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(2032)</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пл.</w:t>
            </w:r>
            <w:r w:rsidR="0042058C" w:rsidRPr="0042058C">
              <w:rPr>
                <w:rFonts w:ascii="Times New Roman" w:hAnsi="Times New Roman" w:cs="Times New Roman"/>
                <w:color w:val="000000" w:themeColor="text1"/>
                <w:sz w:val="20"/>
                <w:szCs w:val="20"/>
              </w:rPr>
              <w:t>Трунова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w:t>
            </w:r>
            <w:r w:rsidR="002E5F93">
              <w:rPr>
                <w:rFonts w:ascii="Times New Roman" w:hAnsi="Times New Roman" w:cs="Times New Roman"/>
                <w:color w:val="000000" w:themeColor="text1"/>
                <w:sz w:val="20"/>
                <w:szCs w:val="20"/>
              </w:rPr>
              <w:t xml:space="preserve"> пл.</w:t>
            </w:r>
            <w:r w:rsidRPr="0042058C">
              <w:rPr>
                <w:rFonts w:ascii="Times New Roman" w:hAnsi="Times New Roman" w:cs="Times New Roman"/>
                <w:color w:val="000000" w:themeColor="text1"/>
                <w:sz w:val="20"/>
                <w:szCs w:val="20"/>
              </w:rPr>
              <w:t>Свободы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Флотская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Колхозная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(2033)</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Кузнечная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Майская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40 лет Победы</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(2034)</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ул.Терновская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Подъезд к МТФ </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Подъезд к мехтоку с.Труновского</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(2035)</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Подъезд к маслозаводу </w:t>
            </w:r>
            <w:r w:rsidR="002E5F93">
              <w:rPr>
                <w:rFonts w:ascii="Times New Roman" w:hAnsi="Times New Roman" w:cs="Times New Roman"/>
                <w:color w:val="000000" w:themeColor="text1"/>
                <w:sz w:val="20"/>
                <w:szCs w:val="20"/>
              </w:rPr>
              <w:t>от а/д Труновское – поселок им.</w:t>
            </w:r>
            <w:r w:rsidRPr="0042058C">
              <w:rPr>
                <w:rFonts w:ascii="Times New Roman" w:hAnsi="Times New Roman" w:cs="Times New Roman"/>
                <w:color w:val="000000" w:themeColor="text1"/>
                <w:sz w:val="20"/>
                <w:szCs w:val="20"/>
              </w:rPr>
              <w:t>Кирова</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0" w:type="auto"/>
            <w:shd w:val="clear" w:color="auto" w:fill="auto"/>
            <w:vAlign w:val="center"/>
          </w:tcPr>
          <w:p w:rsidR="0042058C" w:rsidRPr="0042058C" w:rsidRDefault="0042058C" w:rsidP="00953F17">
            <w:pPr>
              <w:numPr>
                <w:ilvl w:val="0"/>
                <w:numId w:val="10"/>
              </w:numPr>
              <w:spacing w:after="0" w:line="240" w:lineRule="auto"/>
              <w:contextualSpacing/>
              <w:jc w:val="center"/>
              <w:rPr>
                <w:rFonts w:ascii="Times New Roman" w:hAnsi="Times New Roman" w:cs="Times New Roman"/>
                <w:color w:val="000000" w:themeColor="text1"/>
                <w:sz w:val="20"/>
                <w:szCs w:val="20"/>
              </w:rPr>
            </w:pPr>
          </w:p>
        </w:tc>
        <w:tc>
          <w:tcPr>
            <w:tcW w:w="0" w:type="auto"/>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автодороги местного значения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0" w:type="auto"/>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 Труновское, ул.</w:t>
            </w:r>
            <w:r w:rsidR="0042058C" w:rsidRPr="0042058C">
              <w:rPr>
                <w:rFonts w:ascii="Times New Roman" w:hAnsi="Times New Roman" w:cs="Times New Roman"/>
                <w:color w:val="000000" w:themeColor="text1"/>
                <w:sz w:val="20"/>
                <w:szCs w:val="20"/>
              </w:rPr>
              <w:t>Рабочая</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Расчетный срок (2036)</w:t>
            </w:r>
          </w:p>
        </w:tc>
        <w:tc>
          <w:tcPr>
            <w:tcW w:w="0" w:type="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0" w:type="auto"/>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bl>
    <w:p w:rsidR="0042058C" w:rsidRPr="0042058C" w:rsidRDefault="0042058C" w:rsidP="009C6893">
      <w:pPr>
        <w:spacing w:after="0" w:line="240" w:lineRule="auto"/>
      </w:pPr>
    </w:p>
    <w:p w:rsidR="00A16097" w:rsidRDefault="0042058C" w:rsidP="00381753">
      <w:pPr>
        <w:spacing w:after="0"/>
        <w:jc w:val="right"/>
        <w:outlineLvl w:val="1"/>
        <w:rPr>
          <w:rFonts w:ascii="Times New Roman" w:hAnsi="Times New Roman" w:cs="Times New Roman"/>
          <w:color w:val="000000" w:themeColor="text1"/>
          <w:sz w:val="28"/>
          <w:szCs w:val="28"/>
        </w:rPr>
      </w:pPr>
      <w:bookmarkStart w:id="12" w:name="_Toc532057569"/>
      <w:bookmarkStart w:id="13" w:name="_Toc84245630"/>
      <w:r w:rsidRPr="0042058C">
        <w:rPr>
          <w:rFonts w:ascii="Times New Roman" w:hAnsi="Times New Roman" w:cs="Times New Roman"/>
          <w:color w:val="000000" w:themeColor="text1"/>
          <w:sz w:val="28"/>
          <w:szCs w:val="28"/>
        </w:rPr>
        <w:tab/>
      </w:r>
      <w:r w:rsidR="00381753">
        <w:rPr>
          <w:rFonts w:ascii="Times New Roman" w:hAnsi="Times New Roman" w:cs="Times New Roman"/>
          <w:color w:val="000000" w:themeColor="text1"/>
          <w:sz w:val="28"/>
          <w:szCs w:val="28"/>
        </w:rPr>
        <w:t xml:space="preserve"> Таблица 5</w:t>
      </w:r>
    </w:p>
    <w:p w:rsidR="0042058C" w:rsidRDefault="0042058C" w:rsidP="00A16097">
      <w:pPr>
        <w:spacing w:after="0"/>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 xml:space="preserve">Объекты </w:t>
      </w:r>
      <w:bookmarkEnd w:id="12"/>
      <w:r w:rsidRPr="0042058C">
        <w:rPr>
          <w:rFonts w:ascii="Times New Roman" w:hAnsi="Times New Roman" w:cs="Times New Roman"/>
          <w:color w:val="000000" w:themeColor="text1"/>
          <w:sz w:val="28"/>
          <w:szCs w:val="28"/>
        </w:rPr>
        <w:t>водоснабжения и водоотведения</w:t>
      </w:r>
      <w:bookmarkEnd w:id="13"/>
    </w:p>
    <w:p w:rsidR="00381753" w:rsidRPr="0042058C" w:rsidRDefault="00381753" w:rsidP="00381753">
      <w:pPr>
        <w:spacing w:after="0"/>
        <w:jc w:val="right"/>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1345"/>
        <w:gridCol w:w="1629"/>
        <w:gridCol w:w="1315"/>
        <w:gridCol w:w="1496"/>
        <w:gridCol w:w="986"/>
        <w:gridCol w:w="1222"/>
        <w:gridCol w:w="1149"/>
      </w:tblGrid>
      <w:tr w:rsidR="0042058C" w:rsidRPr="0042058C" w:rsidTr="0042058C">
        <w:tc>
          <w:tcPr>
            <w:tcW w:w="20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bookmarkStart w:id="14" w:name="_Toc464720224"/>
            <w:bookmarkStart w:id="15" w:name="_Toc532057571"/>
            <w:r w:rsidRPr="0042058C">
              <w:rPr>
                <w:rFonts w:ascii="Times New Roman" w:hAnsi="Times New Roman" w:cs="Times New Roman"/>
                <w:color w:val="000000" w:themeColor="text1"/>
                <w:sz w:val="20"/>
                <w:szCs w:val="20"/>
              </w:rPr>
              <w:t>№ п/п</w:t>
            </w:r>
          </w:p>
        </w:tc>
        <w:tc>
          <w:tcPr>
            <w:tcW w:w="62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Обеспечение объектами инженерной инфраструктуры</w:t>
            </w: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водовода п.Новотерновский - п. Кирова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225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4900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водовода п.Новотерновский - п. Кирова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160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2350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w:t>
            </w:r>
            <w:r w:rsidR="002E5F93">
              <w:rPr>
                <w:rFonts w:ascii="Times New Roman" w:hAnsi="Times New Roman" w:cs="Times New Roman"/>
                <w:color w:val="000000" w:themeColor="text1"/>
                <w:sz w:val="20"/>
                <w:szCs w:val="20"/>
              </w:rPr>
              <w:t>одовода п.Правоегорлыкский - п.</w:t>
            </w:r>
            <w:r w:rsidRPr="0042058C">
              <w:rPr>
                <w:rFonts w:ascii="Times New Roman" w:hAnsi="Times New Roman" w:cs="Times New Roman"/>
                <w:color w:val="000000" w:themeColor="text1"/>
                <w:sz w:val="20"/>
                <w:szCs w:val="20"/>
              </w:rPr>
              <w:t>Новотерновский</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225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7800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w:t>
            </w:r>
            <w:r w:rsidR="002E5F93">
              <w:rPr>
                <w:rFonts w:ascii="Times New Roman" w:hAnsi="Times New Roman" w:cs="Times New Roman"/>
                <w:color w:val="000000" w:themeColor="text1"/>
                <w:sz w:val="20"/>
                <w:szCs w:val="20"/>
              </w:rPr>
              <w:t>нструкция водовода Мех.ток - п.</w:t>
            </w:r>
            <w:r w:rsidRPr="0042058C">
              <w:rPr>
                <w:rFonts w:ascii="Times New Roman" w:hAnsi="Times New Roman" w:cs="Times New Roman"/>
                <w:color w:val="000000" w:themeColor="text1"/>
                <w:sz w:val="20"/>
                <w:szCs w:val="20"/>
              </w:rPr>
              <w:t>Нижняя Терновка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160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2400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инженерной инфраструктуры</w:t>
            </w: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разводящих водопроводных сетей</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по ул.Владимира Костыша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разводящих водопроводных сетей</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1550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по ул.Павлова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разводящих водопроводных сетей</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350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w:t>
            </w:r>
            <w:r w:rsidR="002E5F93">
              <w:rPr>
                <w:rFonts w:ascii="Times New Roman" w:hAnsi="Times New Roman" w:cs="Times New Roman"/>
                <w:color w:val="000000" w:themeColor="text1"/>
                <w:sz w:val="20"/>
                <w:szCs w:val="20"/>
              </w:rPr>
              <w:t xml:space="preserve">.Ставропольская от № 37 до </w:t>
            </w:r>
            <w:r w:rsidR="002E5F93">
              <w:rPr>
                <w:rFonts w:ascii="Times New Roman" w:hAnsi="Times New Roman" w:cs="Times New Roman"/>
                <w:color w:val="000000" w:themeColor="text1"/>
                <w:sz w:val="20"/>
                <w:szCs w:val="20"/>
              </w:rPr>
              <w:lastRenderedPageBreak/>
              <w:t>пер.</w:t>
            </w:r>
            <w:r w:rsidRPr="0042058C">
              <w:rPr>
                <w:rFonts w:ascii="Times New Roman" w:hAnsi="Times New Roman" w:cs="Times New Roman"/>
                <w:color w:val="000000" w:themeColor="text1"/>
                <w:sz w:val="20"/>
                <w:szCs w:val="20"/>
              </w:rPr>
              <w:t>Дорожный № 38</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260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по пер.Казачий от № 2 до № 16</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205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по пер.Черкасский от № 1 до № 15</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600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ул.Владимира Костыша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150 мм Протяженность – 1600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ул.Валькова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700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пер.Донской</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1650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пер.Советский</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1500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пер.Свободный</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Проектирование и строительство сетей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750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пер.Рабочий</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сети водоотведения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200 мм Протяженность – 150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ул.Коммунальная от № 9 до № 15</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Обеспечение объектами инженерной инфраструктуры</w:t>
            </w: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1850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Апанасенко от № 2 до № 77</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1330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Верхняя от № 90 до переулка Молодёжный № 9/1</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300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Колхозная от № 4 до № 34</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1770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Комсомольская от № 2 до № 84</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510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 Безопасное, по улице Молодёжная от № 2 до № </w:t>
            </w:r>
            <w:r w:rsidRPr="0042058C">
              <w:rPr>
                <w:rFonts w:ascii="Times New Roman" w:hAnsi="Times New Roman" w:cs="Times New Roman"/>
                <w:color w:val="000000" w:themeColor="text1"/>
                <w:sz w:val="20"/>
                <w:szCs w:val="20"/>
              </w:rPr>
              <w:lastRenderedPageBreak/>
              <w:t>24</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910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Промышленная от № 1 до № 72 и от № 3 до № 18а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740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по улице Садовая от № 35 до № 59</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инженерной инфраструктуры</w:t>
            </w: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водовода н/с №4 п. Кирова – РЧВ п. Сухой Лог</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160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6700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Территориальное управление </w:t>
            </w:r>
          </w:p>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 п. им.</w:t>
            </w:r>
            <w:r w:rsidR="0042058C" w:rsidRPr="0042058C">
              <w:rPr>
                <w:rFonts w:ascii="Times New Roman" w:hAnsi="Times New Roman" w:cs="Times New Roman"/>
                <w:color w:val="000000" w:themeColor="text1"/>
                <w:sz w:val="20"/>
                <w:szCs w:val="20"/>
              </w:rPr>
              <w:t>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водовода РЧВ п. Сухой Лог - ул. Гагарина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160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1220 м</w:t>
            </w:r>
          </w:p>
        </w:tc>
        <w:tc>
          <w:tcPr>
            <w:tcW w:w="73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Территориальное управление </w:t>
            </w:r>
          </w:p>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 п. им.</w:t>
            </w:r>
            <w:r w:rsidR="0042058C" w:rsidRPr="0042058C">
              <w:rPr>
                <w:rFonts w:ascii="Times New Roman" w:hAnsi="Times New Roman" w:cs="Times New Roman"/>
                <w:color w:val="000000" w:themeColor="text1"/>
                <w:sz w:val="20"/>
                <w:szCs w:val="20"/>
              </w:rPr>
              <w:t>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850 м</w:t>
            </w:r>
          </w:p>
        </w:tc>
        <w:tc>
          <w:tcPr>
            <w:tcW w:w="739" w:type="pct"/>
            <w:shd w:val="clear" w:color="auto" w:fill="auto"/>
            <w:vAlign w:val="center"/>
          </w:tcPr>
          <w:p w:rsidR="0042058C" w:rsidRPr="0042058C" w:rsidRDefault="002E5F93" w:rsidP="002E5F93">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 60 л</w:t>
            </w:r>
            <w:r w:rsidR="0042058C" w:rsidRPr="0042058C">
              <w:rPr>
                <w:rFonts w:ascii="Times New Roman" w:hAnsi="Times New Roman" w:cs="Times New Roman"/>
                <w:color w:val="000000" w:themeColor="text1"/>
                <w:sz w:val="20"/>
                <w:szCs w:val="20"/>
              </w:rPr>
              <w:t>ет Октября</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0" w:type="pct"/>
            <w:shd w:val="clear" w:color="auto" w:fill="auto"/>
            <w:vAlign w:val="center"/>
          </w:tcPr>
          <w:p w:rsidR="0042058C" w:rsidRPr="0042058C" w:rsidRDefault="0042058C" w:rsidP="00953F17">
            <w:pPr>
              <w:numPr>
                <w:ilvl w:val="0"/>
                <w:numId w:val="11"/>
              </w:numPr>
              <w:spacing w:after="0" w:line="240" w:lineRule="auto"/>
              <w:contextualSpacing/>
              <w:jc w:val="center"/>
              <w:rPr>
                <w:rFonts w:ascii="Times New Roman" w:hAnsi="Times New Roman" w:cs="Times New Roman"/>
                <w:color w:val="000000" w:themeColor="text1"/>
                <w:sz w:val="20"/>
                <w:szCs w:val="20"/>
              </w:rPr>
            </w:pPr>
          </w:p>
        </w:tc>
        <w:tc>
          <w:tcPr>
            <w:tcW w:w="629"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0"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водопроводной сети</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Диаметр – 110 мм;</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220 м</w:t>
            </w:r>
          </w:p>
        </w:tc>
        <w:tc>
          <w:tcPr>
            <w:tcW w:w="739" w:type="pct"/>
            <w:shd w:val="clear" w:color="auto" w:fill="auto"/>
            <w:vAlign w:val="center"/>
          </w:tcPr>
          <w:p w:rsidR="0042058C" w:rsidRPr="0042058C" w:rsidRDefault="002E5F93" w:rsidP="002E5F93">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 Кирова, ул.</w:t>
            </w:r>
            <w:r w:rsidR="0042058C" w:rsidRPr="0042058C">
              <w:rPr>
                <w:rFonts w:ascii="Times New Roman" w:hAnsi="Times New Roman" w:cs="Times New Roman"/>
                <w:color w:val="000000" w:themeColor="text1"/>
                <w:sz w:val="20"/>
                <w:szCs w:val="20"/>
              </w:rPr>
              <w:t>Новая</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19"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bookmarkEnd w:id="14"/>
      <w:bookmarkEnd w:id="15"/>
    </w:tbl>
    <w:p w:rsidR="0042058C" w:rsidRPr="0042058C" w:rsidRDefault="0042058C" w:rsidP="002E5F93">
      <w:pPr>
        <w:spacing w:after="0" w:line="240" w:lineRule="auto"/>
      </w:pPr>
    </w:p>
    <w:p w:rsidR="00A16097" w:rsidRDefault="00381753" w:rsidP="00381753">
      <w:pPr>
        <w:spacing w:after="0"/>
        <w:jc w:val="right"/>
        <w:outlineLvl w:val="1"/>
        <w:rPr>
          <w:rFonts w:ascii="Times New Roman" w:hAnsi="Times New Roman" w:cs="Times New Roman"/>
          <w:color w:val="000000" w:themeColor="text1"/>
          <w:sz w:val="28"/>
          <w:szCs w:val="28"/>
        </w:rPr>
      </w:pPr>
      <w:bookmarkStart w:id="16" w:name="_Toc84245631"/>
      <w:r>
        <w:rPr>
          <w:rFonts w:ascii="Times New Roman" w:hAnsi="Times New Roman" w:cs="Times New Roman"/>
          <w:color w:val="000000" w:themeColor="text1"/>
          <w:sz w:val="28"/>
          <w:szCs w:val="28"/>
        </w:rPr>
        <w:t>Таблица 6</w:t>
      </w:r>
    </w:p>
    <w:p w:rsidR="0042058C" w:rsidRDefault="0042058C" w:rsidP="00A16097">
      <w:pPr>
        <w:spacing w:after="0"/>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местного значения отраслей экономики</w:t>
      </w:r>
      <w:bookmarkEnd w:id="16"/>
    </w:p>
    <w:p w:rsidR="00381753" w:rsidRPr="0042058C" w:rsidRDefault="00381753" w:rsidP="00381753">
      <w:pPr>
        <w:spacing w:after="0"/>
        <w:jc w:val="right"/>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1102"/>
        <w:gridCol w:w="1931"/>
        <w:gridCol w:w="1324"/>
        <w:gridCol w:w="1402"/>
        <w:gridCol w:w="992"/>
        <w:gridCol w:w="1231"/>
        <w:gridCol w:w="1157"/>
      </w:tblGrid>
      <w:tr w:rsidR="0042058C" w:rsidRPr="0042058C" w:rsidTr="0042058C">
        <w:tc>
          <w:tcPr>
            <w:tcW w:w="19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3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Обеспечение объектами экономики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комплекса по откорму молодняка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5000 голов</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 СПК «Колхоз им.Горького»</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экономики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овцегородка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кролиководческих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 Кофанов</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кролиководческих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Ключевское</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звероферм (норка и нутрия)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экономики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свинокомплекса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50000 голов</w:t>
            </w:r>
          </w:p>
        </w:tc>
        <w:tc>
          <w:tcPr>
            <w:tcW w:w="725"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w:t>
            </w:r>
            <w:r w:rsidR="0042058C" w:rsidRPr="0042058C">
              <w:rPr>
                <w:rFonts w:ascii="Times New Roman" w:hAnsi="Times New Roman" w:cs="Times New Roman"/>
                <w:color w:val="000000" w:themeColor="text1"/>
                <w:sz w:val="20"/>
                <w:szCs w:val="20"/>
              </w:rPr>
              <w:t>Кирова, ЗАО «Совхоз имени 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кролиководческих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пчеловодных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строительство мясоперерабатывающего комплекса </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мясокомбинат, хладобойня, холодильник на 10 тонн в сутки</w:t>
            </w:r>
          </w:p>
        </w:tc>
        <w:tc>
          <w:tcPr>
            <w:tcW w:w="725"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w:t>
            </w:r>
            <w:r w:rsidR="0042058C" w:rsidRPr="0042058C">
              <w:rPr>
                <w:rFonts w:ascii="Times New Roman" w:hAnsi="Times New Roman" w:cs="Times New Roman"/>
                <w:color w:val="000000" w:themeColor="text1"/>
                <w:sz w:val="20"/>
                <w:szCs w:val="20"/>
              </w:rPr>
              <w:t>Кирова, ЗАО «Совхоз имени 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цеха первичной переработки молока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30 тонн в сутки</w:t>
            </w:r>
          </w:p>
        </w:tc>
        <w:tc>
          <w:tcPr>
            <w:tcW w:w="725"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им.</w:t>
            </w:r>
            <w:r w:rsidR="0042058C" w:rsidRPr="0042058C">
              <w:rPr>
                <w:rFonts w:ascii="Times New Roman" w:hAnsi="Times New Roman" w:cs="Times New Roman"/>
                <w:color w:val="000000" w:themeColor="text1"/>
                <w:sz w:val="20"/>
                <w:szCs w:val="20"/>
              </w:rPr>
              <w:t>Кирова, ЗАО «Совхоз имени Кирова»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Новая Кугульта</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экономики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пчеловодных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Подлесном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экономики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комплекса по откорму крупного рогатого скота</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10000 голов</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 в СПК «Колхоз имени Ворошилова»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кролиководческих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пчеловодных ферм</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r w:rsidR="0042058C" w:rsidRPr="0042058C" w:rsidTr="0042058C">
        <w:tc>
          <w:tcPr>
            <w:tcW w:w="198" w:type="pct"/>
            <w:shd w:val="clear" w:color="auto" w:fill="auto"/>
            <w:vAlign w:val="center"/>
          </w:tcPr>
          <w:p w:rsidR="0042058C" w:rsidRPr="0042058C" w:rsidRDefault="0042058C" w:rsidP="00953F17">
            <w:pPr>
              <w:numPr>
                <w:ilvl w:val="0"/>
                <w:numId w:val="12"/>
              </w:numPr>
              <w:spacing w:after="0" w:line="240" w:lineRule="auto"/>
              <w:contextualSpacing/>
              <w:jc w:val="center"/>
              <w:rPr>
                <w:rFonts w:ascii="Times New Roman" w:hAnsi="Times New Roman" w:cs="Times New Roman"/>
                <w:color w:val="000000" w:themeColor="text1"/>
                <w:sz w:val="20"/>
                <w:szCs w:val="20"/>
              </w:rPr>
            </w:pPr>
          </w:p>
        </w:tc>
        <w:tc>
          <w:tcPr>
            <w:tcW w:w="632"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звероферм (норка и нутрия)</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Подлесное</w:t>
            </w:r>
          </w:p>
        </w:tc>
        <w:tc>
          <w:tcPr>
            <w:tcW w:w="50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6"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bl>
    <w:p w:rsidR="0042058C" w:rsidRPr="0042058C" w:rsidRDefault="0042058C" w:rsidP="009C6893">
      <w:pPr>
        <w:spacing w:after="0" w:line="240" w:lineRule="auto"/>
      </w:pPr>
    </w:p>
    <w:p w:rsidR="00A16097" w:rsidRDefault="0042058C" w:rsidP="00381753">
      <w:pPr>
        <w:spacing w:after="0"/>
        <w:jc w:val="right"/>
        <w:outlineLvl w:val="1"/>
        <w:rPr>
          <w:rFonts w:ascii="Times New Roman" w:hAnsi="Times New Roman" w:cs="Times New Roman"/>
          <w:color w:val="000000" w:themeColor="text1"/>
          <w:sz w:val="28"/>
          <w:szCs w:val="28"/>
        </w:rPr>
      </w:pPr>
      <w:bookmarkStart w:id="17" w:name="_Toc84245632"/>
      <w:r w:rsidRPr="0042058C">
        <w:rPr>
          <w:rFonts w:ascii="Times New Roman" w:hAnsi="Times New Roman" w:cs="Times New Roman"/>
          <w:color w:val="000000" w:themeColor="text1"/>
          <w:sz w:val="28"/>
          <w:szCs w:val="28"/>
        </w:rPr>
        <w:tab/>
      </w:r>
      <w:r w:rsidR="00381753">
        <w:rPr>
          <w:rFonts w:ascii="Times New Roman" w:hAnsi="Times New Roman" w:cs="Times New Roman"/>
          <w:color w:val="000000" w:themeColor="text1"/>
          <w:sz w:val="28"/>
          <w:szCs w:val="28"/>
        </w:rPr>
        <w:t>Таблица 7</w:t>
      </w:r>
    </w:p>
    <w:p w:rsidR="0042058C" w:rsidRDefault="0042058C" w:rsidP="00A16097">
      <w:pPr>
        <w:spacing w:after="0"/>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благоустройства</w:t>
      </w:r>
      <w:bookmarkEnd w:id="17"/>
    </w:p>
    <w:p w:rsidR="00381753" w:rsidRPr="0042058C" w:rsidRDefault="00381753" w:rsidP="00381753">
      <w:pPr>
        <w:spacing w:after="0"/>
        <w:jc w:val="right"/>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1434"/>
        <w:gridCol w:w="1471"/>
        <w:gridCol w:w="1412"/>
        <w:gridCol w:w="1662"/>
        <w:gridCol w:w="1054"/>
        <w:gridCol w:w="1311"/>
        <w:gridCol w:w="778"/>
      </w:tblGrid>
      <w:tr w:rsidR="0042058C" w:rsidRPr="0042058C" w:rsidTr="0042058C">
        <w:tc>
          <w:tcPr>
            <w:tcW w:w="202"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bookmarkStart w:id="18" w:name="_Toc532057575"/>
            <w:r w:rsidRPr="0042058C">
              <w:rPr>
                <w:rFonts w:ascii="Times New Roman" w:hAnsi="Times New Roman" w:cs="Times New Roman"/>
                <w:color w:val="000000" w:themeColor="text1"/>
                <w:sz w:val="20"/>
                <w:szCs w:val="20"/>
              </w:rPr>
              <w:t>№ п/п</w:t>
            </w: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П – планируемый к </w:t>
            </w:r>
            <w:r w:rsidRPr="0042058C">
              <w:rPr>
                <w:rFonts w:ascii="Times New Roman" w:hAnsi="Times New Roman" w:cs="Times New Roman"/>
                <w:color w:val="000000" w:themeColor="text1"/>
                <w:sz w:val="20"/>
                <w:szCs w:val="20"/>
              </w:rPr>
              <w:lastRenderedPageBreak/>
              <w:t>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Донском</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благоустройства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Размещение общественного стационарного отапливаемого туалета с дополнительным оборудованием для лиц с ограниченными возможностями</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ул.Солнечная, д.4</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 Самбуров, ул.Крестьянская, д.65</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ул.Тимирязева, д.3</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Безопасном</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Обеспечение объектами благоустройства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Благоустройство объекта культурного наследия «Братская могила красных партизан, погибших в годы гражданской войны, и воинов, погибших в годы Великой отечественной войны»</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ул.Ленина</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Благоустройство парка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ул.Парковая</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b/>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центр села</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благоустройства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памятника (стелы) воинам, погибшим в годы ВОВ</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ул.Ленина, 4В</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п. им. Кирова</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val="restar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благоустройства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ул.Южная</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ул. Новая</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Правоегорлыкск</w:t>
            </w:r>
            <w:r>
              <w:rPr>
                <w:rFonts w:ascii="Times New Roman" w:hAnsi="Times New Roman" w:cs="Times New Roman"/>
                <w:color w:val="000000" w:themeColor="text1"/>
                <w:sz w:val="20"/>
                <w:szCs w:val="20"/>
              </w:rPr>
              <w:lastRenderedPageBreak/>
              <w:t>ий, ул.</w:t>
            </w:r>
            <w:r w:rsidR="0042058C" w:rsidRPr="0042058C">
              <w:rPr>
                <w:rFonts w:ascii="Times New Roman" w:hAnsi="Times New Roman" w:cs="Times New Roman"/>
                <w:color w:val="000000" w:themeColor="text1"/>
                <w:sz w:val="20"/>
                <w:szCs w:val="20"/>
              </w:rPr>
              <w:t>Советская</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Детская площадка</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2E5F93" w:rsidP="0042058C">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 Нижняя Терновка, ул.</w:t>
            </w:r>
            <w:r w:rsidR="0042058C" w:rsidRPr="0042058C">
              <w:rPr>
                <w:rFonts w:ascii="Times New Roman" w:hAnsi="Times New Roman" w:cs="Times New Roman"/>
                <w:color w:val="000000" w:themeColor="text1"/>
                <w:sz w:val="20"/>
                <w:szCs w:val="20"/>
              </w:rPr>
              <w:t>Луговая</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vMerge/>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Благоустройство территории</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им. Кирова, центр</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Новая Кугульта</w:t>
            </w:r>
          </w:p>
        </w:tc>
      </w:tr>
      <w:tr w:rsidR="0042058C" w:rsidRPr="0042058C" w:rsidTr="0042058C">
        <w:tc>
          <w:tcPr>
            <w:tcW w:w="202" w:type="pct"/>
            <w:shd w:val="clear" w:color="auto" w:fill="auto"/>
            <w:vAlign w:val="center"/>
          </w:tcPr>
          <w:p w:rsidR="0042058C" w:rsidRPr="0042058C" w:rsidRDefault="0042058C" w:rsidP="00953F17">
            <w:pPr>
              <w:numPr>
                <w:ilvl w:val="0"/>
                <w:numId w:val="13"/>
              </w:numPr>
              <w:spacing w:after="0" w:line="240" w:lineRule="auto"/>
              <w:contextualSpacing/>
              <w:jc w:val="center"/>
              <w:rPr>
                <w:rFonts w:ascii="Times New Roman" w:hAnsi="Times New Roman" w:cs="Times New Roman"/>
                <w:color w:val="000000" w:themeColor="text1"/>
                <w:sz w:val="20"/>
                <w:szCs w:val="20"/>
              </w:rPr>
            </w:pPr>
          </w:p>
        </w:tc>
        <w:tc>
          <w:tcPr>
            <w:tcW w:w="66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объектами благоустройства</w:t>
            </w:r>
          </w:p>
        </w:tc>
        <w:tc>
          <w:tcPr>
            <w:tcW w:w="105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Благоустройство территории филиала МКОУ СОШ №5</w:t>
            </w:r>
          </w:p>
        </w:tc>
        <w:tc>
          <w:tcPr>
            <w:tcW w:w="73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7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Новая Кугульта, ул.Ленина, д.2</w:t>
            </w:r>
          </w:p>
        </w:tc>
        <w:tc>
          <w:tcPr>
            <w:tcW w:w="517"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82"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365"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r>
    </w:tbl>
    <w:p w:rsidR="0042058C" w:rsidRPr="0042058C" w:rsidRDefault="0042058C" w:rsidP="009C6893">
      <w:pPr>
        <w:spacing w:after="0" w:line="240" w:lineRule="auto"/>
      </w:pPr>
    </w:p>
    <w:p w:rsidR="00A16097" w:rsidRDefault="0042058C" w:rsidP="00381753">
      <w:pPr>
        <w:spacing w:after="0"/>
        <w:jc w:val="right"/>
        <w:outlineLvl w:val="1"/>
        <w:rPr>
          <w:rFonts w:ascii="Times New Roman" w:hAnsi="Times New Roman" w:cs="Times New Roman"/>
          <w:color w:val="000000" w:themeColor="text1"/>
          <w:sz w:val="28"/>
          <w:szCs w:val="28"/>
        </w:rPr>
      </w:pPr>
      <w:bookmarkStart w:id="19" w:name="_Toc84245633"/>
      <w:r w:rsidRPr="0042058C">
        <w:rPr>
          <w:rFonts w:ascii="Times New Roman" w:hAnsi="Times New Roman" w:cs="Times New Roman"/>
          <w:color w:val="000000" w:themeColor="text1"/>
          <w:sz w:val="28"/>
          <w:szCs w:val="28"/>
        </w:rPr>
        <w:tab/>
      </w:r>
      <w:r w:rsidR="00381753">
        <w:rPr>
          <w:rFonts w:ascii="Times New Roman" w:hAnsi="Times New Roman" w:cs="Times New Roman"/>
          <w:color w:val="000000" w:themeColor="text1"/>
          <w:sz w:val="28"/>
          <w:szCs w:val="28"/>
        </w:rPr>
        <w:t>Таблица 8</w:t>
      </w:r>
    </w:p>
    <w:p w:rsidR="0042058C" w:rsidRDefault="0042058C" w:rsidP="00A16097">
      <w:pPr>
        <w:spacing w:after="0"/>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Размещение объектов специального назначения местного значения</w:t>
      </w:r>
      <w:bookmarkEnd w:id="18"/>
      <w:bookmarkEnd w:id="19"/>
    </w:p>
    <w:p w:rsidR="00A16097" w:rsidRPr="0042058C" w:rsidRDefault="00A16097" w:rsidP="00A16097">
      <w:pPr>
        <w:spacing w:after="0"/>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1298"/>
        <w:gridCol w:w="1309"/>
        <w:gridCol w:w="1416"/>
        <w:gridCol w:w="1493"/>
        <w:gridCol w:w="1057"/>
        <w:gridCol w:w="1315"/>
        <w:gridCol w:w="1234"/>
      </w:tblGrid>
      <w:tr w:rsidR="0042058C" w:rsidRPr="0042058C" w:rsidTr="0042058C">
        <w:tc>
          <w:tcPr>
            <w:tcW w:w="199"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bookmarkStart w:id="20" w:name="_Toc532057576"/>
            <w:r w:rsidRPr="0042058C">
              <w:rPr>
                <w:rFonts w:ascii="Times New Roman" w:hAnsi="Times New Roman" w:cs="Times New Roman"/>
                <w:color w:val="000000" w:themeColor="text1"/>
                <w:sz w:val="20"/>
                <w:szCs w:val="20"/>
              </w:rPr>
              <w:t>№ п/п</w:t>
            </w:r>
          </w:p>
        </w:tc>
        <w:tc>
          <w:tcPr>
            <w:tcW w:w="63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726"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50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625"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r>
      <w:tr w:rsidR="0042058C" w:rsidRPr="0042058C" w:rsidTr="0042058C">
        <w:tc>
          <w:tcPr>
            <w:tcW w:w="5000" w:type="pct"/>
            <w:gridSpan w:val="8"/>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Территориальное управление в селе Труновском</w:t>
            </w:r>
          </w:p>
        </w:tc>
      </w:tr>
      <w:tr w:rsidR="0042058C" w:rsidRPr="0042058C" w:rsidTr="0042058C">
        <w:tc>
          <w:tcPr>
            <w:tcW w:w="199" w:type="pct"/>
            <w:shd w:val="clear" w:color="auto" w:fill="auto"/>
            <w:vAlign w:val="center"/>
          </w:tcPr>
          <w:p w:rsidR="0042058C" w:rsidRPr="0042058C" w:rsidRDefault="0042058C" w:rsidP="00953F17">
            <w:pPr>
              <w:numPr>
                <w:ilvl w:val="0"/>
                <w:numId w:val="14"/>
              </w:numPr>
              <w:spacing w:after="0" w:line="240" w:lineRule="auto"/>
              <w:contextualSpacing/>
              <w:jc w:val="center"/>
              <w:rPr>
                <w:rFonts w:ascii="Times New Roman" w:hAnsi="Times New Roman" w:cs="Times New Roman"/>
                <w:color w:val="000000" w:themeColor="text1"/>
                <w:sz w:val="20"/>
                <w:szCs w:val="20"/>
              </w:rPr>
            </w:pPr>
          </w:p>
        </w:tc>
        <w:tc>
          <w:tcPr>
            <w:tcW w:w="63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специальными объектами</w:t>
            </w:r>
          </w:p>
        </w:tc>
        <w:tc>
          <w:tcPr>
            <w:tcW w:w="1014"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пожарного депо</w:t>
            </w:r>
          </w:p>
        </w:tc>
        <w:tc>
          <w:tcPr>
            <w:tcW w:w="723"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726"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w:t>
            </w:r>
          </w:p>
        </w:tc>
        <w:tc>
          <w:tcPr>
            <w:tcW w:w="508"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625" w:type="pct"/>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71" w:type="pct"/>
            <w:shd w:val="clear" w:color="auto" w:fill="auto"/>
            <w:vAlign w:val="center"/>
          </w:tcPr>
          <w:p w:rsidR="0042058C" w:rsidRPr="0042058C" w:rsidRDefault="0042058C" w:rsidP="0042058C">
            <w:pPr>
              <w:spacing w:after="0" w:line="240" w:lineRule="auto"/>
              <w:contextualSpacing/>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r>
    </w:tbl>
    <w:p w:rsidR="00A16097" w:rsidRDefault="00A16097" w:rsidP="00A16097">
      <w:pPr>
        <w:keepNext/>
        <w:keepLines/>
        <w:spacing w:after="0"/>
        <w:jc w:val="both"/>
        <w:outlineLvl w:val="0"/>
        <w:rPr>
          <w:rFonts w:ascii="Arial" w:eastAsiaTheme="majorEastAsia" w:hAnsi="Arial" w:cs="Arial"/>
          <w:b/>
          <w:bCs/>
          <w:sz w:val="28"/>
          <w:szCs w:val="28"/>
        </w:rPr>
      </w:pPr>
      <w:bookmarkStart w:id="21" w:name="_Toc84245634"/>
    </w:p>
    <w:p w:rsidR="0042058C" w:rsidRPr="0042058C" w:rsidRDefault="0042058C" w:rsidP="00A16097">
      <w:pPr>
        <w:keepNext/>
        <w:keepLines/>
        <w:spacing w:after="0"/>
        <w:jc w:val="both"/>
        <w:outlineLvl w:val="0"/>
        <w:rPr>
          <w:rFonts w:ascii="Times New Roman" w:hAnsi="Times New Roman" w:cs="Times New Roman"/>
          <w:b/>
          <w:color w:val="000000" w:themeColor="text1"/>
          <w:sz w:val="28"/>
          <w:szCs w:val="28"/>
        </w:rPr>
      </w:pPr>
      <w:r w:rsidRPr="0042058C">
        <w:rPr>
          <w:rFonts w:ascii="Times New Roman" w:hAnsi="Times New Roman" w:cs="Times New Roman"/>
          <w:b/>
          <w:color w:val="000000" w:themeColor="text1"/>
          <w:sz w:val="28"/>
          <w:szCs w:val="28"/>
        </w:rPr>
        <w:t>Статья 2.</w:t>
      </w:r>
      <w:r w:rsidRPr="0042058C">
        <w:rPr>
          <w:rFonts w:ascii="Times New Roman" w:hAnsi="Times New Roman" w:cs="Times New Roman"/>
          <w:b/>
          <w:color w:val="000000" w:themeColor="text1"/>
          <w:sz w:val="28"/>
          <w:szCs w:val="28"/>
        </w:rPr>
        <w:tab/>
      </w:r>
      <w:bookmarkEnd w:id="20"/>
      <w:bookmarkEnd w:id="21"/>
      <w:r w:rsidRPr="0042058C">
        <w:rPr>
          <w:rFonts w:ascii="Times New Roman" w:hAnsi="Times New Roman" w:cs="Times New Roman"/>
          <w:b/>
          <w:color w:val="000000" w:themeColor="text1"/>
          <w:sz w:val="28"/>
          <w:szCs w:val="28"/>
        </w:rPr>
        <w:t>Сведения о видах, назначении и наименованиях планируемых для размещения объектов федерального и регионального значения на территории Труновского муниципального округа Ставропольского края, их основные характеристики, местоположение, а также характеристики зон с особыми условиями использования территории</w:t>
      </w:r>
    </w:p>
    <w:p w:rsidR="0042058C" w:rsidRPr="0042058C" w:rsidRDefault="0042058C" w:rsidP="009C6893">
      <w:pPr>
        <w:spacing w:after="0" w:line="240" w:lineRule="auto"/>
        <w:jc w:val="center"/>
        <w:outlineLvl w:val="0"/>
        <w:rPr>
          <w:rFonts w:ascii="Times New Roman" w:hAnsi="Times New Roman" w:cs="Times New Roman"/>
          <w:color w:val="000000" w:themeColor="text1"/>
          <w:sz w:val="28"/>
          <w:szCs w:val="28"/>
        </w:rPr>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2" w:name="_Toc84245635"/>
      <w:r>
        <w:rPr>
          <w:rFonts w:ascii="Times New Roman" w:hAnsi="Times New Roman" w:cs="Times New Roman"/>
          <w:color w:val="000000" w:themeColor="text1"/>
          <w:sz w:val="28"/>
          <w:szCs w:val="28"/>
        </w:rPr>
        <w:t>Таблица 9</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регионального значения в области газоснабжения</w:t>
      </w:r>
      <w:bookmarkEnd w:id="22"/>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
        <w:gridCol w:w="857"/>
        <w:gridCol w:w="1036"/>
        <w:gridCol w:w="1313"/>
        <w:gridCol w:w="1114"/>
        <w:gridCol w:w="1172"/>
        <w:gridCol w:w="845"/>
        <w:gridCol w:w="1038"/>
        <w:gridCol w:w="638"/>
        <w:gridCol w:w="1166"/>
      </w:tblGrid>
      <w:tr w:rsidR="0042058C" w:rsidRPr="0042058C" w:rsidTr="0042058C">
        <w:tc>
          <w:tcPr>
            <w:tcW w:w="17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9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4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65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52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56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51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45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52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c>
          <w:tcPr>
            <w:tcW w:w="171" w:type="pct"/>
            <w:vAlign w:val="center"/>
          </w:tcPr>
          <w:p w:rsidR="0042058C" w:rsidRPr="0042058C" w:rsidRDefault="0042058C" w:rsidP="00953F17">
            <w:pPr>
              <w:numPr>
                <w:ilvl w:val="0"/>
                <w:numId w:val="3"/>
              </w:numPr>
              <w:spacing w:after="0" w:line="240" w:lineRule="auto"/>
              <w:jc w:val="center"/>
              <w:rPr>
                <w:rFonts w:ascii="Times New Roman" w:hAnsi="Times New Roman" w:cs="Times New Roman"/>
                <w:color w:val="000000" w:themeColor="text1"/>
                <w:sz w:val="20"/>
                <w:szCs w:val="20"/>
              </w:rPr>
            </w:pPr>
          </w:p>
        </w:tc>
        <w:tc>
          <w:tcPr>
            <w:tcW w:w="69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w:t>
            </w:r>
            <w:r w:rsidRPr="0042058C">
              <w:rPr>
                <w:rFonts w:ascii="Times New Roman" w:hAnsi="Times New Roman" w:cs="Times New Roman"/>
                <w:color w:val="000000" w:themeColor="text1"/>
                <w:sz w:val="20"/>
                <w:szCs w:val="20"/>
              </w:rPr>
              <w:lastRenderedPageBreak/>
              <w:t>60</w:t>
            </w:r>
            <w:r w:rsidRPr="0042058C">
              <w:rPr>
                <w:rFonts w:ascii="Times New Roman" w:hAnsi="Times New Roman" w:cs="Times New Roman"/>
                <w:color w:val="000000" w:themeColor="text1"/>
                <w:sz w:val="20"/>
                <w:szCs w:val="20"/>
                <w:lang w:val="en-US"/>
              </w:rPr>
              <w:t>3</w:t>
            </w:r>
          </w:p>
        </w:tc>
        <w:tc>
          <w:tcPr>
            <w:tcW w:w="488" w:type="pct"/>
            <w:vMerge w:val="restar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Организа</w:t>
            </w:r>
            <w:r w:rsidRPr="0042058C">
              <w:rPr>
                <w:rFonts w:ascii="Times New Roman" w:hAnsi="Times New Roman" w:cs="Times New Roman"/>
                <w:color w:val="000000" w:themeColor="text1"/>
                <w:sz w:val="20"/>
                <w:szCs w:val="20"/>
              </w:rPr>
              <w:lastRenderedPageBreak/>
              <w:t>ция газоснабжения</w:t>
            </w:r>
          </w:p>
        </w:tc>
        <w:tc>
          <w:tcPr>
            <w:tcW w:w="65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Распределит</w:t>
            </w:r>
            <w:r w:rsidRPr="0042058C">
              <w:rPr>
                <w:rFonts w:ascii="Times New Roman" w:hAnsi="Times New Roman" w:cs="Times New Roman"/>
                <w:color w:val="000000" w:themeColor="text1"/>
                <w:sz w:val="20"/>
                <w:szCs w:val="20"/>
              </w:rPr>
              <w:lastRenderedPageBreak/>
              <w:t>ельный газопровод низкого давления</w:t>
            </w:r>
          </w:p>
        </w:tc>
        <w:tc>
          <w:tcPr>
            <w:tcW w:w="52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СТ 108 </w:t>
            </w:r>
            <w:r w:rsidRPr="0042058C">
              <w:rPr>
                <w:rFonts w:ascii="Times New Roman" w:hAnsi="Times New Roman" w:cs="Times New Roman"/>
                <w:color w:val="000000" w:themeColor="text1"/>
                <w:sz w:val="20"/>
                <w:szCs w:val="20"/>
              </w:rPr>
              <w:lastRenderedPageBreak/>
              <w:t>протяженность – 100 м</w:t>
            </w:r>
          </w:p>
        </w:tc>
        <w:tc>
          <w:tcPr>
            <w:tcW w:w="568"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с.</w:t>
            </w:r>
            <w:r w:rsidR="0042058C" w:rsidRPr="0042058C">
              <w:rPr>
                <w:rFonts w:ascii="Times New Roman" w:hAnsi="Times New Roman" w:cs="Times New Roman"/>
                <w:color w:val="000000" w:themeColor="text1"/>
                <w:sz w:val="20"/>
                <w:szCs w:val="20"/>
              </w:rPr>
              <w:t xml:space="preserve">Донское, </w:t>
            </w:r>
            <w:r w:rsidR="0042058C" w:rsidRPr="0042058C">
              <w:rPr>
                <w:rFonts w:ascii="Times New Roman" w:hAnsi="Times New Roman" w:cs="Times New Roman"/>
                <w:color w:val="000000" w:themeColor="text1"/>
                <w:sz w:val="20"/>
                <w:szCs w:val="20"/>
              </w:rPr>
              <w:lastRenderedPageBreak/>
              <w:t xml:space="preserve">по </w:t>
            </w:r>
            <w:r>
              <w:rPr>
                <w:rFonts w:ascii="Times New Roman" w:hAnsi="Times New Roman" w:cs="Times New Roman"/>
                <w:color w:val="000000" w:themeColor="text1"/>
                <w:sz w:val="20"/>
                <w:szCs w:val="20"/>
              </w:rPr>
              <w:t>ул.</w:t>
            </w:r>
            <w:r w:rsidR="0042058C" w:rsidRPr="0042058C">
              <w:rPr>
                <w:rFonts w:ascii="Times New Roman" w:hAnsi="Times New Roman" w:cs="Times New Roman"/>
                <w:color w:val="000000" w:themeColor="text1"/>
                <w:sz w:val="20"/>
                <w:szCs w:val="20"/>
              </w:rPr>
              <w:t>Титова</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Первая </w:t>
            </w:r>
            <w:r w:rsidRPr="0042058C">
              <w:rPr>
                <w:rFonts w:ascii="Times New Roman" w:hAnsi="Times New Roman" w:cs="Times New Roman"/>
                <w:color w:val="000000" w:themeColor="text1"/>
                <w:sz w:val="20"/>
                <w:szCs w:val="20"/>
              </w:rPr>
              <w:lastRenderedPageBreak/>
              <w:t>очередь</w:t>
            </w:r>
          </w:p>
        </w:tc>
        <w:tc>
          <w:tcPr>
            <w:tcW w:w="51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w:t>
            </w:r>
          </w:p>
        </w:tc>
        <w:tc>
          <w:tcPr>
            <w:tcW w:w="45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ОЗ- </w:t>
            </w:r>
            <w:r w:rsidRPr="0042058C">
              <w:rPr>
                <w:rFonts w:ascii="Times New Roman" w:hAnsi="Times New Roman" w:cs="Times New Roman"/>
                <w:color w:val="000000" w:themeColor="text1"/>
                <w:sz w:val="20"/>
                <w:szCs w:val="20"/>
              </w:rPr>
              <w:lastRenderedPageBreak/>
              <w:t>10 м</w:t>
            </w:r>
          </w:p>
        </w:tc>
        <w:tc>
          <w:tcPr>
            <w:tcW w:w="527" w:type="pc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lastRenderedPageBreak/>
              <w:t xml:space="preserve">СТП </w:t>
            </w:r>
            <w:r w:rsidRPr="0042058C">
              <w:rPr>
                <w:rFonts w:ascii="Times New Roman" w:hAnsi="Times New Roman" w:cs="Times New Roman"/>
                <w:color w:val="000000" w:themeColor="text1"/>
                <w:sz w:val="20"/>
                <w:szCs w:val="20"/>
              </w:rPr>
              <w:lastRenderedPageBreak/>
              <w:t>Ставропольского края</w:t>
            </w:r>
          </w:p>
        </w:tc>
      </w:tr>
      <w:tr w:rsidR="0042058C" w:rsidRPr="0042058C" w:rsidTr="0042058C">
        <w:tc>
          <w:tcPr>
            <w:tcW w:w="171" w:type="pct"/>
            <w:vAlign w:val="center"/>
          </w:tcPr>
          <w:p w:rsidR="0042058C" w:rsidRPr="0042058C" w:rsidRDefault="0042058C" w:rsidP="00953F17">
            <w:pPr>
              <w:numPr>
                <w:ilvl w:val="0"/>
                <w:numId w:val="3"/>
              </w:numPr>
              <w:spacing w:after="0" w:line="240" w:lineRule="auto"/>
              <w:jc w:val="center"/>
              <w:rPr>
                <w:rFonts w:ascii="Times New Roman" w:hAnsi="Times New Roman" w:cs="Times New Roman"/>
                <w:color w:val="000000" w:themeColor="text1"/>
                <w:sz w:val="20"/>
                <w:szCs w:val="20"/>
              </w:rPr>
            </w:pPr>
          </w:p>
        </w:tc>
        <w:tc>
          <w:tcPr>
            <w:tcW w:w="69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60204060</w:t>
            </w:r>
            <w:r w:rsidRPr="0042058C">
              <w:rPr>
                <w:rFonts w:ascii="Times New Roman" w:hAnsi="Times New Roman" w:cs="Times New Roman"/>
                <w:color w:val="000000" w:themeColor="text1"/>
                <w:sz w:val="20"/>
                <w:szCs w:val="20"/>
                <w:lang w:val="en-US"/>
              </w:rPr>
              <w:t>3</w:t>
            </w:r>
          </w:p>
        </w:tc>
        <w:tc>
          <w:tcPr>
            <w:tcW w:w="488"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5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Распределительный газопровод низкого давления</w:t>
            </w:r>
          </w:p>
        </w:tc>
        <w:tc>
          <w:tcPr>
            <w:tcW w:w="52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ПЭ 110, протяженность – 80 м</w:t>
            </w:r>
          </w:p>
        </w:tc>
        <w:tc>
          <w:tcPr>
            <w:tcW w:w="568"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с.Донское, от ул. Садовой до ул.</w:t>
            </w:r>
            <w:r w:rsidR="0042058C" w:rsidRPr="0042058C">
              <w:rPr>
                <w:rFonts w:ascii="Times New Roman" w:hAnsi="Times New Roman" w:cs="Times New Roman"/>
                <w:color w:val="000000" w:themeColor="text1"/>
                <w:sz w:val="20"/>
                <w:szCs w:val="20"/>
              </w:rPr>
              <w:t>Ворошилова</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51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45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ОЗ- 10 м</w:t>
            </w:r>
          </w:p>
        </w:tc>
        <w:tc>
          <w:tcPr>
            <w:tcW w:w="527" w:type="pc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bl>
    <w:p w:rsidR="0042058C" w:rsidRPr="0042058C" w:rsidRDefault="0042058C" w:rsidP="009C6893">
      <w:pPr>
        <w:spacing w:after="0" w:line="240" w:lineRule="auto"/>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3" w:name="_Toc84245636"/>
      <w:r>
        <w:rPr>
          <w:rFonts w:ascii="Times New Roman" w:hAnsi="Times New Roman" w:cs="Times New Roman"/>
          <w:color w:val="000000" w:themeColor="text1"/>
          <w:sz w:val="28"/>
          <w:szCs w:val="28"/>
        </w:rPr>
        <w:t>Таблица 10</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регионального значения в области электроснабжения</w:t>
      </w:r>
      <w:bookmarkEnd w:id="23"/>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
        <w:gridCol w:w="816"/>
        <w:gridCol w:w="1142"/>
        <w:gridCol w:w="1058"/>
        <w:gridCol w:w="1220"/>
        <w:gridCol w:w="1112"/>
        <w:gridCol w:w="805"/>
        <w:gridCol w:w="986"/>
        <w:gridCol w:w="945"/>
        <w:gridCol w:w="1106"/>
      </w:tblGrid>
      <w:tr w:rsidR="0042058C" w:rsidRPr="0042058C" w:rsidTr="0042058C">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602040118</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генерации электрической энергии</w:t>
            </w:r>
          </w:p>
        </w:tc>
        <w:tc>
          <w:tcPr>
            <w:tcW w:w="50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Медвеженская ВЭС</w:t>
            </w:r>
          </w:p>
        </w:tc>
        <w:tc>
          <w:tcPr>
            <w:tcW w:w="63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Ветровая электростанция мощностью до 60 МВт</w:t>
            </w:r>
          </w:p>
        </w:tc>
        <w:tc>
          <w:tcPr>
            <w:tcW w:w="6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p>
        </w:tc>
        <w:tc>
          <w:tcPr>
            <w:tcW w:w="39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w:t>
            </w:r>
          </w:p>
        </w:tc>
        <w:tc>
          <w:tcPr>
            <w:tcW w:w="5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602040213</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преобразованю электрической энергии</w:t>
            </w:r>
          </w:p>
        </w:tc>
        <w:tc>
          <w:tcPr>
            <w:tcW w:w="50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ПС 110 кВ Соленоозерская</w:t>
            </w:r>
          </w:p>
        </w:tc>
        <w:tc>
          <w:tcPr>
            <w:tcW w:w="63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Электрическая подстанция 110 кВ, с силовыми трансформаторами мощностью 1 Т - 63 МВА</w:t>
            </w:r>
          </w:p>
        </w:tc>
        <w:tc>
          <w:tcPr>
            <w:tcW w:w="6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p>
        </w:tc>
        <w:tc>
          <w:tcPr>
            <w:tcW w:w="39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w:t>
            </w:r>
          </w:p>
        </w:tc>
        <w:tc>
          <w:tcPr>
            <w:tcW w:w="5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передачи электрической энергии</w:t>
            </w:r>
          </w:p>
        </w:tc>
        <w:tc>
          <w:tcPr>
            <w:tcW w:w="50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ВЛ 110 кВ Дмитриевская - Баклановская с отпайкой на ПС 110 кВ Соленоозерская</w:t>
            </w:r>
          </w:p>
        </w:tc>
        <w:tc>
          <w:tcPr>
            <w:tcW w:w="63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Воздушная линия электропередачи 110 кВ с сечением провода 120 мм2, протяженностью 4 км</w:t>
            </w:r>
          </w:p>
        </w:tc>
        <w:tc>
          <w:tcPr>
            <w:tcW w:w="6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Труновский муниципальный округ</w:t>
            </w:r>
          </w:p>
        </w:tc>
        <w:tc>
          <w:tcPr>
            <w:tcW w:w="39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602040118</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генерации электрической энергии</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Труновская ВЭС</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Ветряная электростанция мощностью до 100 МВт</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w:t>
            </w:r>
            <w:r w:rsidRPr="0042058C">
              <w:rPr>
                <w:rFonts w:ascii="Times New Roman" w:hAnsi="Times New Roman" w:cs="Times New Roman"/>
                <w:color w:val="000000" w:themeColor="text1"/>
                <w:sz w:val="20"/>
                <w:szCs w:val="20"/>
              </w:rPr>
              <w:lastRenderedPageBreak/>
              <w:t>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Объект по </w:t>
            </w:r>
            <w:r w:rsidRPr="0042058C">
              <w:rPr>
                <w:rFonts w:ascii="Times New Roman" w:hAnsi="Times New Roman" w:cs="Times New Roman"/>
                <w:color w:val="000000" w:themeColor="text1"/>
                <w:sz w:val="20"/>
                <w:szCs w:val="20"/>
              </w:rPr>
              <w:lastRenderedPageBreak/>
              <w:t>преобразованию электрической энергии</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ПС 110 </w:t>
            </w:r>
            <w:r w:rsidRPr="0042058C">
              <w:rPr>
                <w:rFonts w:ascii="Times New Roman" w:hAnsi="Times New Roman" w:cs="Times New Roman"/>
                <w:color w:val="000000" w:themeColor="text1"/>
                <w:sz w:val="20"/>
                <w:szCs w:val="20"/>
              </w:rPr>
              <w:lastRenderedPageBreak/>
              <w:t>кВ  Озёрская</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Электричес</w:t>
            </w:r>
            <w:r w:rsidRPr="0042058C">
              <w:rPr>
                <w:rFonts w:ascii="Times New Roman" w:hAnsi="Times New Roman" w:cs="Times New Roman"/>
                <w:color w:val="000000" w:themeColor="text1"/>
                <w:sz w:val="20"/>
                <w:szCs w:val="20"/>
              </w:rPr>
              <w:lastRenderedPageBreak/>
              <w:t>кая подстанция 110 кВ</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Ставропо</w:t>
            </w:r>
            <w:r w:rsidRPr="0042058C">
              <w:rPr>
                <w:rFonts w:ascii="Times New Roman" w:hAnsi="Times New Roman" w:cs="Times New Roman"/>
                <w:color w:val="000000" w:themeColor="text1"/>
                <w:sz w:val="20"/>
                <w:szCs w:val="20"/>
              </w:rPr>
              <w:lastRenderedPageBreak/>
              <w:t>льский край, 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w:t>
            </w:r>
            <w:r w:rsidRPr="0042058C">
              <w:rPr>
                <w:rFonts w:ascii="Times New Roman" w:hAnsi="Times New Roman" w:cs="Times New Roman"/>
                <w:color w:val="000000" w:themeColor="text1"/>
                <w:sz w:val="20"/>
                <w:szCs w:val="20"/>
              </w:rPr>
              <w:lastRenderedPageBreak/>
              <w:t>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w:t>
            </w:r>
            <w:r w:rsidRPr="0042058C">
              <w:rPr>
                <w:rFonts w:ascii="Times New Roman" w:hAnsi="Times New Roman" w:cs="Times New Roman"/>
                <w:color w:val="000000" w:themeColor="text1"/>
                <w:sz w:val="20"/>
                <w:szCs w:val="20"/>
              </w:rPr>
              <w:lastRenderedPageBreak/>
              <w:t>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Инициати</w:t>
            </w:r>
            <w:r w:rsidRPr="0042058C">
              <w:rPr>
                <w:rFonts w:ascii="Times New Roman" w:hAnsi="Times New Roman" w:cs="Times New Roman"/>
                <w:color w:val="000000" w:themeColor="text1"/>
                <w:sz w:val="20"/>
                <w:szCs w:val="20"/>
              </w:rPr>
              <w:lastRenderedPageBreak/>
              <w:t>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передаче электрической энергии (1 вариант технологического присоединения Труновской ВЭС)</w:t>
            </w:r>
          </w:p>
        </w:tc>
        <w:tc>
          <w:tcPr>
            <w:tcW w:w="509" w:type="pct"/>
            <w:shd w:val="clear" w:color="auto" w:fill="auto"/>
            <w:vAlign w:val="center"/>
          </w:tcPr>
          <w:p w:rsidR="0042058C" w:rsidRPr="0042058C" w:rsidRDefault="0042058C" w:rsidP="0042058C">
            <w:pPr>
              <w:spacing w:after="16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ВЛ 110 кВ Безопасная – НПС-5 с отпайкой (заходами) на  Труновскую ВЭС</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Воздушная линия электропередачи 110 кВ с сечением провода 185 мм2, протяженностью 8 км</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 Изобильненский городской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передаче электрической энергии (2 вариант технологического присоединения Труновской ВЭС)</w:t>
            </w:r>
          </w:p>
        </w:tc>
        <w:tc>
          <w:tcPr>
            <w:tcW w:w="509" w:type="pct"/>
            <w:shd w:val="clear" w:color="auto" w:fill="auto"/>
            <w:vAlign w:val="center"/>
          </w:tcPr>
          <w:p w:rsidR="0042058C" w:rsidRPr="0042058C" w:rsidRDefault="0042058C" w:rsidP="0042058C">
            <w:pPr>
              <w:spacing w:after="16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ВЛ 110 кВ Безопасная – Донская с отпайкой (заходами) на  Труновскую ВЭС</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Воздушная линия электропередачи 110 кВ с сечением провода 185 мм2, протяженностью 15 км</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 Изобильненский городской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передаче электрической энергии (3 вариант технологического присоединения Труновской ВЭС)</w:t>
            </w:r>
          </w:p>
        </w:tc>
        <w:tc>
          <w:tcPr>
            <w:tcW w:w="509" w:type="pct"/>
            <w:shd w:val="clear" w:color="auto" w:fill="auto"/>
            <w:vAlign w:val="center"/>
          </w:tcPr>
          <w:p w:rsidR="0042058C" w:rsidRPr="0042058C" w:rsidRDefault="0042058C" w:rsidP="0042058C">
            <w:pPr>
              <w:spacing w:after="16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ВЛ 110 кВ Труновская ВЭС – НПС-5</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Воздушная линия электропередачи 110 кВ с сечением провода 185 мм2, протяженностью 11 км</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 Изобильненский городской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602040118</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генерации электрической энергии</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Беляевская ВЭС</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Ветряная электростанция мощностью до 100 МВт</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преобразованию электрической энергии</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ПС 110 кВ Хуторская</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Электрическая подстанция 110 кВ</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Ставропольский край, 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Инициатива АО «НоваВинд»</w:t>
            </w:r>
          </w:p>
        </w:tc>
      </w:tr>
      <w:tr w:rsidR="0042058C" w:rsidRPr="0042058C" w:rsidTr="0042058C">
        <w:tc>
          <w:tcPr>
            <w:tcW w:w="156" w:type="pct"/>
            <w:vAlign w:val="center"/>
          </w:tcPr>
          <w:p w:rsidR="0042058C" w:rsidRPr="0042058C" w:rsidRDefault="0042058C" w:rsidP="00953F17">
            <w:pPr>
              <w:numPr>
                <w:ilvl w:val="0"/>
                <w:numId w:val="4"/>
              </w:numPr>
              <w:spacing w:after="0" w:line="240" w:lineRule="auto"/>
              <w:jc w:val="center"/>
              <w:rPr>
                <w:rFonts w:ascii="Times New Roman" w:hAnsi="Times New Roman" w:cs="Times New Roman"/>
                <w:color w:val="000000" w:themeColor="text1"/>
                <w:sz w:val="20"/>
                <w:szCs w:val="20"/>
              </w:rPr>
            </w:pPr>
          </w:p>
        </w:tc>
        <w:tc>
          <w:tcPr>
            <w:tcW w:w="469"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60204030</w:t>
            </w:r>
            <w:r w:rsidRPr="0042058C">
              <w:rPr>
                <w:rFonts w:ascii="Times New Roman" w:hAnsi="Times New Roman" w:cs="Times New Roman"/>
                <w:color w:val="000000" w:themeColor="text1"/>
                <w:sz w:val="20"/>
                <w:szCs w:val="20"/>
                <w:lang w:val="en-US"/>
              </w:rPr>
              <w:t>7</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Объект по передаче электриче</w:t>
            </w:r>
            <w:r w:rsidRPr="0042058C">
              <w:rPr>
                <w:rFonts w:ascii="Times New Roman" w:hAnsi="Times New Roman" w:cs="Times New Roman"/>
                <w:color w:val="000000" w:themeColor="text1"/>
                <w:sz w:val="20"/>
                <w:szCs w:val="20"/>
              </w:rPr>
              <w:lastRenderedPageBreak/>
              <w:t>ской энергии</w:t>
            </w:r>
          </w:p>
        </w:tc>
        <w:tc>
          <w:tcPr>
            <w:tcW w:w="50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ВЛ 110 кВ Изобильн</w:t>
            </w:r>
            <w:r w:rsidRPr="0042058C">
              <w:rPr>
                <w:rFonts w:ascii="Times New Roman" w:hAnsi="Times New Roman" w:cs="Times New Roman"/>
                <w:color w:val="000000" w:themeColor="text1"/>
                <w:sz w:val="20"/>
                <w:szCs w:val="20"/>
              </w:rPr>
              <w:lastRenderedPageBreak/>
              <w:t>ая – Донская с отпайкой (заходами)  на Беляевскую ВЭС</w:t>
            </w:r>
          </w:p>
        </w:tc>
        <w:tc>
          <w:tcPr>
            <w:tcW w:w="6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Воздушная линия электропер</w:t>
            </w:r>
            <w:r w:rsidRPr="0042058C">
              <w:rPr>
                <w:rFonts w:ascii="Times New Roman" w:hAnsi="Times New Roman" w:cs="Times New Roman"/>
                <w:color w:val="000000" w:themeColor="text1"/>
                <w:sz w:val="20"/>
                <w:szCs w:val="20"/>
              </w:rPr>
              <w:lastRenderedPageBreak/>
              <w:t>едачи 110 кВ с сечением провода 120 мм2, протяженностью 5 км</w:t>
            </w:r>
          </w:p>
        </w:tc>
        <w:tc>
          <w:tcPr>
            <w:tcW w:w="6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Ставропольский край, </w:t>
            </w:r>
            <w:r w:rsidRPr="0042058C">
              <w:rPr>
                <w:rFonts w:ascii="Times New Roman" w:hAnsi="Times New Roman" w:cs="Times New Roman"/>
                <w:color w:val="000000" w:themeColor="text1"/>
                <w:sz w:val="20"/>
                <w:szCs w:val="20"/>
              </w:rPr>
              <w:lastRenderedPageBreak/>
              <w:t>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Первая очеред</w:t>
            </w:r>
            <w:r w:rsidRPr="0042058C">
              <w:rPr>
                <w:rFonts w:ascii="Times New Roman" w:hAnsi="Times New Roman" w:cs="Times New Roman"/>
                <w:color w:val="000000" w:themeColor="text1"/>
                <w:sz w:val="20"/>
                <w:szCs w:val="20"/>
              </w:rPr>
              <w:lastRenderedPageBreak/>
              <w:t>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П</w:t>
            </w:r>
          </w:p>
        </w:tc>
        <w:tc>
          <w:tcPr>
            <w:tcW w:w="52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Определяется проекто</w:t>
            </w:r>
            <w:r w:rsidRPr="0042058C">
              <w:rPr>
                <w:rFonts w:ascii="Times New Roman" w:hAnsi="Times New Roman" w:cs="Times New Roman"/>
                <w:color w:val="000000" w:themeColor="text1"/>
                <w:sz w:val="20"/>
                <w:szCs w:val="20"/>
              </w:rPr>
              <w:lastRenderedPageBreak/>
              <w:t>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Инициатива АО «НоваВин</w:t>
            </w:r>
            <w:r w:rsidRPr="0042058C">
              <w:rPr>
                <w:rFonts w:ascii="Times New Roman" w:hAnsi="Times New Roman" w:cs="Times New Roman"/>
                <w:color w:val="000000" w:themeColor="text1"/>
                <w:sz w:val="20"/>
                <w:szCs w:val="20"/>
              </w:rPr>
              <w:lastRenderedPageBreak/>
              <w:t>д»</w:t>
            </w:r>
          </w:p>
        </w:tc>
      </w:tr>
    </w:tbl>
    <w:p w:rsidR="0042058C" w:rsidRPr="0042058C" w:rsidRDefault="0042058C" w:rsidP="009C6893">
      <w:pPr>
        <w:spacing w:after="0" w:line="240" w:lineRule="auto"/>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4" w:name="_Toc84245637"/>
      <w:r>
        <w:rPr>
          <w:rFonts w:ascii="Times New Roman" w:hAnsi="Times New Roman" w:cs="Times New Roman"/>
          <w:color w:val="000000" w:themeColor="text1"/>
          <w:sz w:val="28"/>
          <w:szCs w:val="28"/>
        </w:rPr>
        <w:t>Таблица 11</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регионального значения в области водоснабжения</w:t>
      </w:r>
      <w:bookmarkEnd w:id="24"/>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821"/>
        <w:gridCol w:w="1020"/>
        <w:gridCol w:w="1018"/>
        <w:gridCol w:w="1065"/>
        <w:gridCol w:w="1120"/>
        <w:gridCol w:w="811"/>
        <w:gridCol w:w="993"/>
        <w:gridCol w:w="615"/>
        <w:gridCol w:w="1726"/>
      </w:tblGrid>
      <w:tr w:rsidR="0042058C" w:rsidRPr="0042058C" w:rsidTr="0042058C">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c>
          <w:tcPr>
            <w:tcW w:w="156" w:type="pct"/>
            <w:vAlign w:val="center"/>
          </w:tcPr>
          <w:p w:rsidR="0042058C" w:rsidRPr="0042058C" w:rsidRDefault="0042058C" w:rsidP="00953F17">
            <w:pPr>
              <w:numPr>
                <w:ilvl w:val="0"/>
                <w:numId w:val="16"/>
              </w:numPr>
              <w:spacing w:after="0" w:line="240" w:lineRule="auto"/>
              <w:jc w:val="center"/>
              <w:rPr>
                <w:rFonts w:ascii="Times New Roman" w:hAnsi="Times New Roman" w:cs="Times New Roman"/>
                <w:b/>
                <w:color w:val="000000" w:themeColor="text1"/>
                <w:sz w:val="20"/>
                <w:szCs w:val="20"/>
              </w:rPr>
            </w:pP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602041202</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водоснабжения</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существующей водопроводной сети</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Д=63 мм, протяженность – 110 м</w:t>
            </w:r>
          </w:p>
        </w:tc>
        <w:tc>
          <w:tcPr>
            <w:tcW w:w="547"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с.Труновское, по пл.</w:t>
            </w:r>
            <w:r w:rsidR="0042058C" w:rsidRPr="0042058C">
              <w:rPr>
                <w:rFonts w:ascii="Times New Roman" w:hAnsi="Times New Roman" w:cs="Times New Roman"/>
                <w:color w:val="000000" w:themeColor="text1"/>
                <w:sz w:val="20"/>
                <w:szCs w:val="20"/>
              </w:rPr>
              <w:t>Трунова от № 11 до № 1</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(2020-2023)</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Инвестиционная программа ГУП СК «Ставрополькрайводоканал»</w:t>
            </w:r>
          </w:p>
        </w:tc>
      </w:tr>
      <w:tr w:rsidR="0042058C" w:rsidRPr="0042058C" w:rsidTr="0042058C">
        <w:tc>
          <w:tcPr>
            <w:tcW w:w="156" w:type="pct"/>
            <w:vAlign w:val="center"/>
          </w:tcPr>
          <w:p w:rsidR="0042058C" w:rsidRPr="0042058C" w:rsidRDefault="0042058C" w:rsidP="00953F17">
            <w:pPr>
              <w:numPr>
                <w:ilvl w:val="0"/>
                <w:numId w:val="16"/>
              </w:numPr>
              <w:spacing w:after="0" w:line="240" w:lineRule="auto"/>
              <w:jc w:val="center"/>
              <w:rPr>
                <w:rFonts w:ascii="Times New Roman" w:hAnsi="Times New Roman" w:cs="Times New Roman"/>
                <w:b/>
                <w:color w:val="000000" w:themeColor="text1"/>
                <w:sz w:val="20"/>
                <w:szCs w:val="20"/>
              </w:rPr>
            </w:pP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602041202</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водоснабжения</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существующей водопроводной сети</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Д=63 мм, протяженность – 100 м</w:t>
            </w:r>
          </w:p>
        </w:tc>
        <w:tc>
          <w:tcPr>
            <w:tcW w:w="547"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с.Труновское, по ул.</w:t>
            </w:r>
            <w:r w:rsidR="0042058C" w:rsidRPr="0042058C">
              <w:rPr>
                <w:rFonts w:ascii="Times New Roman" w:hAnsi="Times New Roman" w:cs="Times New Roman"/>
                <w:color w:val="000000" w:themeColor="text1"/>
                <w:sz w:val="20"/>
                <w:szCs w:val="20"/>
              </w:rPr>
              <w:t>Ленина от № 21 до № 19</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(2020-2023)</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Инвестиционная программа ГУП СК «Ставрополькрайводоканал»</w:t>
            </w:r>
          </w:p>
        </w:tc>
      </w:tr>
      <w:tr w:rsidR="0042058C" w:rsidRPr="0042058C" w:rsidTr="0042058C">
        <w:tc>
          <w:tcPr>
            <w:tcW w:w="156" w:type="pct"/>
            <w:vAlign w:val="center"/>
          </w:tcPr>
          <w:p w:rsidR="0042058C" w:rsidRPr="0042058C" w:rsidRDefault="0042058C" w:rsidP="00953F17">
            <w:pPr>
              <w:numPr>
                <w:ilvl w:val="0"/>
                <w:numId w:val="16"/>
              </w:numPr>
              <w:spacing w:after="0" w:line="240" w:lineRule="auto"/>
              <w:jc w:val="center"/>
              <w:rPr>
                <w:rFonts w:ascii="Times New Roman" w:hAnsi="Times New Roman" w:cs="Times New Roman"/>
                <w:b/>
                <w:color w:val="000000" w:themeColor="text1"/>
                <w:sz w:val="20"/>
                <w:szCs w:val="20"/>
              </w:rPr>
            </w:pP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602041202</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водоснабжения</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существующей водопроводной сети</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Д=110 мм, протяженность – 140 м</w:t>
            </w:r>
          </w:p>
        </w:tc>
        <w:tc>
          <w:tcPr>
            <w:tcW w:w="547"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Труновское, по ул.Партизанская от №</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59 до № 69</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(2020-2023)</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Инвестиционная программа ГУП СК «Ставрополькрайводоканал»</w:t>
            </w:r>
          </w:p>
        </w:tc>
      </w:tr>
      <w:tr w:rsidR="0042058C" w:rsidRPr="0042058C" w:rsidTr="0042058C">
        <w:tc>
          <w:tcPr>
            <w:tcW w:w="156" w:type="pct"/>
            <w:vAlign w:val="center"/>
          </w:tcPr>
          <w:p w:rsidR="0042058C" w:rsidRPr="0042058C" w:rsidRDefault="0042058C" w:rsidP="00953F17">
            <w:pPr>
              <w:numPr>
                <w:ilvl w:val="0"/>
                <w:numId w:val="16"/>
              </w:numPr>
              <w:spacing w:after="0" w:line="240" w:lineRule="auto"/>
              <w:jc w:val="center"/>
              <w:rPr>
                <w:rFonts w:ascii="Times New Roman" w:hAnsi="Times New Roman" w:cs="Times New Roman"/>
                <w:b/>
                <w:color w:val="000000" w:themeColor="text1"/>
                <w:sz w:val="20"/>
                <w:szCs w:val="20"/>
              </w:rPr>
            </w:pP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602041202</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водоснабжения</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существующей водопроводной сети</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Д=110 мм, протяженность – 200 м</w:t>
            </w:r>
          </w:p>
        </w:tc>
        <w:tc>
          <w:tcPr>
            <w:tcW w:w="547"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Труновское, по пер. Дружный от ул.Терновской</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до № 8</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(2020-2023)</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Инвестиционная программа ГУП СК «Ставрополькрайводоканал»</w:t>
            </w:r>
          </w:p>
        </w:tc>
      </w:tr>
      <w:tr w:rsidR="0042058C" w:rsidRPr="0042058C" w:rsidTr="0042058C">
        <w:tc>
          <w:tcPr>
            <w:tcW w:w="156" w:type="pct"/>
            <w:vAlign w:val="center"/>
          </w:tcPr>
          <w:p w:rsidR="0042058C" w:rsidRPr="0042058C" w:rsidRDefault="0042058C" w:rsidP="00953F17">
            <w:pPr>
              <w:numPr>
                <w:ilvl w:val="0"/>
                <w:numId w:val="16"/>
              </w:numPr>
              <w:spacing w:after="0" w:line="240" w:lineRule="auto"/>
              <w:jc w:val="center"/>
              <w:rPr>
                <w:rFonts w:ascii="Times New Roman" w:hAnsi="Times New Roman" w:cs="Times New Roman"/>
                <w:b/>
                <w:color w:val="000000" w:themeColor="text1"/>
                <w:sz w:val="20"/>
                <w:szCs w:val="20"/>
              </w:rPr>
            </w:pPr>
          </w:p>
        </w:tc>
        <w:tc>
          <w:tcPr>
            <w:tcW w:w="56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602041202</w:t>
            </w:r>
          </w:p>
        </w:tc>
        <w:tc>
          <w:tcPr>
            <w:tcW w:w="5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водоснабжения</w:t>
            </w:r>
          </w:p>
        </w:tc>
        <w:tc>
          <w:tcPr>
            <w:tcW w:w="58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участка существующей водопров</w:t>
            </w:r>
            <w:r w:rsidRPr="0042058C">
              <w:rPr>
                <w:rFonts w:ascii="Times New Roman" w:hAnsi="Times New Roman" w:cs="Times New Roman"/>
                <w:color w:val="000000" w:themeColor="text1"/>
                <w:sz w:val="20"/>
                <w:szCs w:val="20"/>
              </w:rPr>
              <w:lastRenderedPageBreak/>
              <w:t>одной сети</w:t>
            </w:r>
          </w:p>
        </w:tc>
        <w:tc>
          <w:tcPr>
            <w:tcW w:w="570"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Д=63 мм, протяженность – 160 м</w:t>
            </w:r>
          </w:p>
        </w:tc>
        <w:tc>
          <w:tcPr>
            <w:tcW w:w="547"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Труновское, по пер.Учительский от № 9 до № 11</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 (2020-2023)</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34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84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Инвестиционная программа ГУП СК «Ставрополькрайводоканал»</w:t>
            </w:r>
          </w:p>
        </w:tc>
      </w:tr>
    </w:tbl>
    <w:p w:rsidR="0042058C" w:rsidRPr="0042058C" w:rsidRDefault="0042058C" w:rsidP="009C6893">
      <w:pPr>
        <w:spacing w:after="0" w:line="240" w:lineRule="auto"/>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5" w:name="_Toc84245638"/>
      <w:r>
        <w:rPr>
          <w:rFonts w:ascii="Times New Roman" w:hAnsi="Times New Roman" w:cs="Times New Roman"/>
          <w:color w:val="000000" w:themeColor="text1"/>
          <w:sz w:val="28"/>
          <w:szCs w:val="28"/>
        </w:rPr>
        <w:t>Таблица 12</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транспорта, путей сообщения, в том числе объекты их обслуживания</w:t>
      </w:r>
      <w:bookmarkEnd w:id="25"/>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858"/>
        <w:gridCol w:w="958"/>
        <w:gridCol w:w="1374"/>
        <w:gridCol w:w="1117"/>
        <w:gridCol w:w="1175"/>
        <w:gridCol w:w="847"/>
        <w:gridCol w:w="1041"/>
        <w:gridCol w:w="639"/>
        <w:gridCol w:w="1169"/>
      </w:tblGrid>
      <w:tr w:rsidR="0042058C" w:rsidRPr="0042058C" w:rsidTr="0042058C">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6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5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634"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5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44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52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c>
          <w:tcPr>
            <w:tcW w:w="156" w:type="pct"/>
            <w:vAlign w:val="center"/>
          </w:tcPr>
          <w:p w:rsidR="0042058C" w:rsidRPr="0042058C" w:rsidRDefault="0042058C" w:rsidP="00953F17">
            <w:pPr>
              <w:numPr>
                <w:ilvl w:val="0"/>
                <w:numId w:val="15"/>
              </w:numPr>
              <w:spacing w:after="0" w:line="240" w:lineRule="auto"/>
              <w:jc w:val="center"/>
              <w:rPr>
                <w:rFonts w:ascii="Times New Roman" w:hAnsi="Times New Roman" w:cs="Times New Roman"/>
                <w:color w:val="000000" w:themeColor="text1"/>
                <w:sz w:val="20"/>
                <w:szCs w:val="20"/>
              </w:rPr>
            </w:pPr>
          </w:p>
        </w:tc>
        <w:tc>
          <w:tcPr>
            <w:tcW w:w="66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602030302</w:t>
            </w:r>
          </w:p>
        </w:tc>
        <w:tc>
          <w:tcPr>
            <w:tcW w:w="5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безопасности дорожного движения</w:t>
            </w:r>
          </w:p>
        </w:tc>
        <w:tc>
          <w:tcPr>
            <w:tcW w:w="634"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Строительство подъезда к п.Правоегорлыкский от автомобильной дороги Ипатово - Золотаревка – Добровольное</w:t>
            </w:r>
          </w:p>
        </w:tc>
        <w:tc>
          <w:tcPr>
            <w:tcW w:w="5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IV техническая категория, 2 полосы</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44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52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15"/>
              </w:numPr>
              <w:spacing w:after="0" w:line="240" w:lineRule="auto"/>
              <w:jc w:val="center"/>
              <w:rPr>
                <w:rFonts w:ascii="Times New Roman" w:hAnsi="Times New Roman" w:cs="Times New Roman"/>
                <w:color w:val="000000" w:themeColor="text1"/>
                <w:sz w:val="20"/>
                <w:szCs w:val="20"/>
              </w:rPr>
            </w:pPr>
          </w:p>
        </w:tc>
        <w:tc>
          <w:tcPr>
            <w:tcW w:w="66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602050601</w:t>
            </w:r>
          </w:p>
        </w:tc>
        <w:tc>
          <w:tcPr>
            <w:tcW w:w="5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безопасности дорожного движения</w:t>
            </w:r>
          </w:p>
        </w:tc>
        <w:tc>
          <w:tcPr>
            <w:tcW w:w="634"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Устройство искусственного электроосвещения на участке автомобильной дороги Изобильный - Труновское - Кугульта, км 19+250 - км 24+250</w:t>
            </w:r>
          </w:p>
        </w:tc>
        <w:tc>
          <w:tcPr>
            <w:tcW w:w="5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участка освещения автодороги - 5,29 км</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44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52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15"/>
              </w:numPr>
              <w:spacing w:after="0" w:line="240" w:lineRule="auto"/>
              <w:jc w:val="center"/>
              <w:rPr>
                <w:rFonts w:ascii="Times New Roman" w:hAnsi="Times New Roman" w:cs="Times New Roman"/>
                <w:color w:val="000000" w:themeColor="text1"/>
                <w:sz w:val="20"/>
                <w:szCs w:val="20"/>
              </w:rPr>
            </w:pPr>
          </w:p>
        </w:tc>
        <w:tc>
          <w:tcPr>
            <w:tcW w:w="66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602030302</w:t>
            </w:r>
          </w:p>
        </w:tc>
        <w:tc>
          <w:tcPr>
            <w:tcW w:w="5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безопасности дорожного движения</w:t>
            </w:r>
          </w:p>
        </w:tc>
        <w:tc>
          <w:tcPr>
            <w:tcW w:w="634"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Реконструкция автомобильной дороги Изобильный - Труновское - Кугульта, км 35+580 - км 46+220 (второй, третий этапы строительства)</w:t>
            </w:r>
          </w:p>
        </w:tc>
        <w:tc>
          <w:tcPr>
            <w:tcW w:w="5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Протяженность – 6,599,51 м</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Труновское, п. им. Кирова</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44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52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c>
          <w:tcPr>
            <w:tcW w:w="156" w:type="pct"/>
            <w:vAlign w:val="center"/>
          </w:tcPr>
          <w:p w:rsidR="0042058C" w:rsidRPr="0042058C" w:rsidRDefault="0042058C" w:rsidP="00953F17">
            <w:pPr>
              <w:numPr>
                <w:ilvl w:val="0"/>
                <w:numId w:val="15"/>
              </w:numPr>
              <w:spacing w:after="0" w:line="240" w:lineRule="auto"/>
              <w:jc w:val="center"/>
              <w:rPr>
                <w:rFonts w:ascii="Times New Roman" w:hAnsi="Times New Roman" w:cs="Times New Roman"/>
                <w:color w:val="000000" w:themeColor="text1"/>
                <w:sz w:val="20"/>
                <w:szCs w:val="20"/>
              </w:rPr>
            </w:pPr>
          </w:p>
        </w:tc>
        <w:tc>
          <w:tcPr>
            <w:tcW w:w="66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602030302</w:t>
            </w:r>
          </w:p>
        </w:tc>
        <w:tc>
          <w:tcPr>
            <w:tcW w:w="5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xml:space="preserve">Организация безопасности </w:t>
            </w:r>
            <w:r w:rsidRPr="0042058C">
              <w:rPr>
                <w:rFonts w:ascii="Times New Roman" w:hAnsi="Times New Roman" w:cs="Times New Roman"/>
                <w:color w:val="000000" w:themeColor="text1"/>
                <w:sz w:val="20"/>
                <w:szCs w:val="20"/>
              </w:rPr>
              <w:lastRenderedPageBreak/>
              <w:t>дорожного движения</w:t>
            </w:r>
          </w:p>
        </w:tc>
        <w:tc>
          <w:tcPr>
            <w:tcW w:w="634"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 xml:space="preserve">Реконструкция автомобильной дороги </w:t>
            </w:r>
            <w:r w:rsidRPr="0042058C">
              <w:rPr>
                <w:rFonts w:ascii="Times New Roman" w:hAnsi="Times New Roman" w:cs="Times New Roman"/>
                <w:color w:val="000000" w:themeColor="text1"/>
                <w:sz w:val="20"/>
                <w:szCs w:val="20"/>
              </w:rPr>
              <w:lastRenderedPageBreak/>
              <w:t>Ростов-на-Дону (от М-4 «Дон») – Ставрополь (в границах Ставропольского края), в том числе:</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км 242+500 – км 245+500;</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км 245+890 – км 248+890;</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км 248+890 – км 252+890.</w:t>
            </w:r>
          </w:p>
        </w:tc>
        <w:tc>
          <w:tcPr>
            <w:tcW w:w="588"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Всего – 9,6216 км</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w:t>
            </w:r>
          </w:p>
        </w:tc>
        <w:tc>
          <w:tcPr>
            <w:tcW w:w="44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Нет</w:t>
            </w:r>
          </w:p>
        </w:tc>
        <w:tc>
          <w:tcPr>
            <w:tcW w:w="52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Стратегия развития сети автомобил</w:t>
            </w:r>
            <w:r w:rsidRPr="0042058C">
              <w:rPr>
                <w:rFonts w:ascii="Times New Roman" w:hAnsi="Times New Roman" w:cs="Times New Roman"/>
                <w:color w:val="000000" w:themeColor="text1"/>
                <w:sz w:val="20"/>
                <w:szCs w:val="20"/>
              </w:rPr>
              <w:lastRenderedPageBreak/>
              <w:t>ьных дорог и транспортного комплекса Ставропольского края (2009-2030 годы)</w:t>
            </w:r>
          </w:p>
        </w:tc>
      </w:tr>
    </w:tbl>
    <w:p w:rsidR="0042058C" w:rsidRPr="0042058C" w:rsidRDefault="0042058C" w:rsidP="009C6893">
      <w:pPr>
        <w:spacing w:after="0" w:line="240" w:lineRule="auto"/>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6" w:name="_Toc84245639"/>
      <w:r>
        <w:rPr>
          <w:rFonts w:ascii="Times New Roman" w:hAnsi="Times New Roman" w:cs="Times New Roman"/>
          <w:color w:val="000000" w:themeColor="text1"/>
          <w:sz w:val="28"/>
          <w:szCs w:val="28"/>
        </w:rPr>
        <w:t>Таблица 13</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регионального значения в области сельского хозяйства и АПК</w:t>
      </w:r>
      <w:bookmarkEnd w:id="26"/>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799"/>
        <w:gridCol w:w="1048"/>
        <w:gridCol w:w="1210"/>
        <w:gridCol w:w="1290"/>
        <w:gridCol w:w="1087"/>
        <w:gridCol w:w="789"/>
        <w:gridCol w:w="965"/>
        <w:gridCol w:w="925"/>
        <w:gridCol w:w="1082"/>
      </w:tblGrid>
      <w:tr w:rsidR="0042058C" w:rsidRPr="0042058C" w:rsidTr="0042058C">
        <w:trPr>
          <w:jc w:val="center"/>
        </w:trPr>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20"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53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61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54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4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rPr>
          <w:jc w:val="center"/>
        </w:trPr>
        <w:tc>
          <w:tcPr>
            <w:tcW w:w="156" w:type="pct"/>
            <w:vAlign w:val="center"/>
          </w:tcPr>
          <w:p w:rsidR="0042058C" w:rsidRPr="0042058C" w:rsidRDefault="0042058C" w:rsidP="00953F17">
            <w:pPr>
              <w:numPr>
                <w:ilvl w:val="0"/>
                <w:numId w:val="5"/>
              </w:numPr>
              <w:spacing w:after="0" w:line="240" w:lineRule="auto"/>
              <w:jc w:val="center"/>
              <w:rPr>
                <w:rFonts w:ascii="Times New Roman" w:hAnsi="Times New Roman" w:cs="Times New Roman"/>
                <w:color w:val="000000" w:themeColor="text1"/>
                <w:sz w:val="20"/>
                <w:szCs w:val="20"/>
              </w:rPr>
            </w:pPr>
          </w:p>
        </w:tc>
        <w:tc>
          <w:tcPr>
            <w:tcW w:w="620" w:type="pc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602020201</w:t>
            </w:r>
          </w:p>
        </w:tc>
        <w:tc>
          <w:tcPr>
            <w:tcW w:w="539" w:type="pct"/>
            <w:vMerge w:val="restar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производства и переработки продукции растениеводства</w:t>
            </w:r>
          </w:p>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Организация производства и переработки продукции животноводства</w:t>
            </w:r>
          </w:p>
        </w:tc>
        <w:tc>
          <w:tcPr>
            <w:tcW w:w="66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Закладка сада для промышленного производства плодов</w:t>
            </w:r>
          </w:p>
        </w:tc>
        <w:tc>
          <w:tcPr>
            <w:tcW w:w="615"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4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46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rPr>
          <w:jc w:val="center"/>
        </w:trPr>
        <w:tc>
          <w:tcPr>
            <w:tcW w:w="156" w:type="pct"/>
            <w:vAlign w:val="center"/>
          </w:tcPr>
          <w:p w:rsidR="0042058C" w:rsidRPr="0042058C" w:rsidRDefault="0042058C" w:rsidP="00953F17">
            <w:pPr>
              <w:numPr>
                <w:ilvl w:val="0"/>
                <w:numId w:val="5"/>
              </w:numPr>
              <w:spacing w:after="0" w:line="240" w:lineRule="auto"/>
              <w:jc w:val="center"/>
              <w:rPr>
                <w:rFonts w:ascii="Times New Roman" w:hAnsi="Times New Roman" w:cs="Times New Roman"/>
                <w:color w:val="000000" w:themeColor="text1"/>
                <w:sz w:val="20"/>
                <w:szCs w:val="20"/>
              </w:rPr>
            </w:pPr>
          </w:p>
        </w:tc>
        <w:tc>
          <w:tcPr>
            <w:tcW w:w="620"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602020202</w:t>
            </w:r>
          </w:p>
        </w:tc>
        <w:tc>
          <w:tcPr>
            <w:tcW w:w="539" w:type="pct"/>
            <w:vMerge/>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Строительство инновационного индустриального животноводческого комплекса по производству молока</w:t>
            </w:r>
          </w:p>
        </w:tc>
        <w:tc>
          <w:tcPr>
            <w:tcW w:w="615"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В соответствии с проектной документацией</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 4000 голов дойного стада</w:t>
            </w:r>
          </w:p>
        </w:tc>
        <w:tc>
          <w:tcPr>
            <w:tcW w:w="54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с. Безопасное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lang w:val="en-US"/>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П</w:t>
            </w:r>
          </w:p>
        </w:tc>
        <w:tc>
          <w:tcPr>
            <w:tcW w:w="46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СЗЗ – 1000 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r w:rsidR="0042058C" w:rsidRPr="0042058C" w:rsidTr="0042058C">
        <w:trPr>
          <w:jc w:val="center"/>
        </w:trPr>
        <w:tc>
          <w:tcPr>
            <w:tcW w:w="156" w:type="pct"/>
            <w:vAlign w:val="center"/>
          </w:tcPr>
          <w:p w:rsidR="0042058C" w:rsidRPr="0042058C" w:rsidRDefault="0042058C" w:rsidP="00953F17">
            <w:pPr>
              <w:numPr>
                <w:ilvl w:val="0"/>
                <w:numId w:val="5"/>
              </w:numPr>
              <w:spacing w:after="0" w:line="240" w:lineRule="auto"/>
              <w:jc w:val="center"/>
              <w:rPr>
                <w:rFonts w:ascii="Times New Roman" w:hAnsi="Times New Roman" w:cs="Times New Roman"/>
                <w:color w:val="000000" w:themeColor="text1"/>
                <w:sz w:val="20"/>
                <w:szCs w:val="20"/>
              </w:rPr>
            </w:pPr>
          </w:p>
        </w:tc>
        <w:tc>
          <w:tcPr>
            <w:tcW w:w="620"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602020202</w:t>
            </w:r>
          </w:p>
        </w:tc>
        <w:tc>
          <w:tcPr>
            <w:tcW w:w="539" w:type="pct"/>
            <w:vMerge/>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Строительство хранилища для фруктов с цехом сортировки и упаковки</w:t>
            </w:r>
          </w:p>
        </w:tc>
        <w:tc>
          <w:tcPr>
            <w:tcW w:w="61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на 10000 тонн Инициатор инвестиционного проекта Агропромышленный комплекс ООО «Сады Ставрополья»</w:t>
            </w:r>
          </w:p>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 xml:space="preserve">В настоящее </w:t>
            </w:r>
            <w:r w:rsidRPr="0042058C">
              <w:rPr>
                <w:rFonts w:ascii="Times New Roman" w:hAnsi="Times New Roman" w:cs="Times New Roman"/>
                <w:color w:val="000000" w:themeColor="text1"/>
                <w:spacing w:val="2"/>
                <w:sz w:val="20"/>
                <w:szCs w:val="20"/>
                <w:shd w:val="clear" w:color="auto" w:fill="FFFFFF"/>
              </w:rPr>
              <w:lastRenderedPageBreak/>
              <w:t>время ведутся работы по вводу в эксплуатацию первой очереди хранилища на 6000 тонн</w:t>
            </w:r>
          </w:p>
        </w:tc>
        <w:tc>
          <w:tcPr>
            <w:tcW w:w="54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lastRenderedPageBreak/>
              <w:t>с. Донское</w:t>
            </w:r>
          </w:p>
        </w:tc>
        <w:tc>
          <w:tcPr>
            <w:tcW w:w="39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С</w:t>
            </w:r>
          </w:p>
        </w:tc>
        <w:tc>
          <w:tcPr>
            <w:tcW w:w="46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1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СТП Ставропольского края</w:t>
            </w:r>
          </w:p>
        </w:tc>
      </w:tr>
    </w:tbl>
    <w:p w:rsidR="0042058C" w:rsidRPr="0042058C" w:rsidRDefault="0042058C" w:rsidP="009C6893">
      <w:pPr>
        <w:spacing w:after="0" w:line="240" w:lineRule="auto"/>
      </w:pPr>
    </w:p>
    <w:p w:rsidR="00A16097" w:rsidRDefault="00A16097" w:rsidP="00A16097">
      <w:pPr>
        <w:spacing w:after="0"/>
        <w:ind w:left="284"/>
        <w:jc w:val="right"/>
        <w:outlineLvl w:val="1"/>
        <w:rPr>
          <w:rFonts w:ascii="Times New Roman" w:hAnsi="Times New Roman" w:cs="Times New Roman"/>
          <w:color w:val="000000" w:themeColor="text1"/>
          <w:sz w:val="28"/>
          <w:szCs w:val="28"/>
        </w:rPr>
      </w:pPr>
      <w:bookmarkStart w:id="27" w:name="_Toc84245640"/>
      <w:r>
        <w:rPr>
          <w:rFonts w:ascii="Times New Roman" w:hAnsi="Times New Roman" w:cs="Times New Roman"/>
          <w:color w:val="000000" w:themeColor="text1"/>
          <w:sz w:val="28"/>
          <w:szCs w:val="28"/>
        </w:rPr>
        <w:t>Таблица 14</w:t>
      </w:r>
    </w:p>
    <w:p w:rsidR="0042058C" w:rsidRDefault="0042058C" w:rsidP="00A16097">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Объекты специального назначения регионального значения</w:t>
      </w:r>
      <w:bookmarkEnd w:id="27"/>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829"/>
        <w:gridCol w:w="992"/>
        <w:gridCol w:w="1405"/>
        <w:gridCol w:w="1076"/>
        <w:gridCol w:w="1299"/>
        <w:gridCol w:w="818"/>
        <w:gridCol w:w="1003"/>
        <w:gridCol w:w="620"/>
        <w:gridCol w:w="1144"/>
      </w:tblGrid>
      <w:tr w:rsidR="0042058C" w:rsidRPr="0042058C" w:rsidTr="0042058C">
        <w:trPr>
          <w:jc w:val="center"/>
        </w:trPr>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53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Р - реконструкция</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ЗОУИТ</w:t>
            </w:r>
          </w:p>
        </w:tc>
        <w:tc>
          <w:tcPr>
            <w:tcW w:w="52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z w:val="20"/>
                <w:szCs w:val="20"/>
              </w:rPr>
              <w:t>602020402</w:t>
            </w:r>
          </w:p>
        </w:tc>
        <w:tc>
          <w:tcPr>
            <w:tcW w:w="539" w:type="pct"/>
            <w:vMerge w:val="restar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Обеспечение роста показателей экологической обстановки</w:t>
            </w: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Полигон по захоронению твердых коммунальных отходов с линией сортировки и предприятием по переработке вторсырья – Межмуниципальный зональный центр «Донской»</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Мощность до 140 тыс. тонн в год</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r w:rsidRPr="0042058C">
              <w:rPr>
                <w:rFonts w:ascii="Times New Roman" w:hAnsi="Times New Roman" w:cs="Times New Roman"/>
                <w:color w:val="000000" w:themeColor="text1"/>
                <w:sz w:val="20"/>
                <w:szCs w:val="20"/>
              </w:rPr>
              <w:t xml:space="preserve"> – 7,5 км от с.Донского по направлению к г. Изобильному</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lang w:val="en-US"/>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не менее 1000 м</w:t>
            </w:r>
          </w:p>
        </w:tc>
        <w:tc>
          <w:tcPr>
            <w:tcW w:w="527" w:type="pct"/>
            <w:vMerge w:val="restar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СТП Ставропольского края</w:t>
            </w: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40600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размещенных отходов 10150 тонн</w:t>
            </w:r>
          </w:p>
        </w:tc>
        <w:tc>
          <w:tcPr>
            <w:tcW w:w="613" w:type="pct"/>
            <w:shd w:val="clear" w:color="auto" w:fill="auto"/>
            <w:vAlign w:val="center"/>
          </w:tcPr>
          <w:p w:rsidR="0042058C" w:rsidRPr="0042058C" w:rsidRDefault="002E5F93" w:rsidP="00420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w:t>
            </w:r>
            <w:r w:rsidR="0042058C" w:rsidRPr="0042058C">
              <w:rPr>
                <w:rFonts w:ascii="Times New Roman" w:hAnsi="Times New Roman" w:cs="Times New Roman"/>
                <w:color w:val="000000" w:themeColor="text1"/>
                <w:sz w:val="20"/>
                <w:szCs w:val="20"/>
              </w:rPr>
              <w:t>Труновское, СЗ 1 км</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17076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w:t>
            </w:r>
            <w:r w:rsidRPr="0042058C">
              <w:rPr>
                <w:rFonts w:ascii="Times New Roman" w:hAnsi="Times New Roman" w:cs="Times New Roman"/>
                <w:color w:val="000000" w:themeColor="text1"/>
                <w:sz w:val="20"/>
                <w:szCs w:val="20"/>
              </w:rPr>
              <w:lastRenderedPageBreak/>
              <w:t>ных отходов 4269 тонн</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с. Подлесное, СВ 1,5 км</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lang w:val="en-US"/>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10800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размещенных отходов 2860 тонн</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r w:rsidRPr="0042058C">
              <w:rPr>
                <w:rFonts w:ascii="Times New Roman" w:hAnsi="Times New Roman" w:cs="Times New Roman"/>
                <w:color w:val="000000" w:themeColor="text1"/>
                <w:sz w:val="20"/>
                <w:szCs w:val="20"/>
              </w:rPr>
              <w:t>, 1 км</w:t>
            </w:r>
            <w:r w:rsidRPr="0042058C">
              <w:rPr>
                <w:rFonts w:ascii="Times New Roman" w:hAnsi="Times New Roman" w:cs="Times New Roman"/>
                <w:color w:val="000000" w:themeColor="text1"/>
                <w:sz w:val="20"/>
                <w:szCs w:val="20"/>
              </w:rPr>
              <w:br/>
              <w:t>с. Новая Кугульта, В</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Координаты</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45.662785,42.142835</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lang w:val="en-US"/>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123964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размещенных отходов 23098 тонн</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r w:rsidRPr="0042058C">
              <w:rPr>
                <w:rFonts w:ascii="Times New Roman" w:hAnsi="Times New Roman" w:cs="Times New Roman"/>
                <w:color w:val="000000" w:themeColor="text1"/>
                <w:sz w:val="20"/>
                <w:szCs w:val="20"/>
              </w:rPr>
              <w:t>, 1 км от пос</w:t>
            </w:r>
            <w:r w:rsidR="002E5F93">
              <w:rPr>
                <w:rFonts w:ascii="Times New Roman" w:hAnsi="Times New Roman" w:cs="Times New Roman"/>
                <w:color w:val="000000" w:themeColor="text1"/>
                <w:sz w:val="20"/>
                <w:szCs w:val="20"/>
              </w:rPr>
              <w:t>.</w:t>
            </w:r>
            <w:r w:rsidRPr="0042058C">
              <w:rPr>
                <w:rFonts w:ascii="Times New Roman" w:hAnsi="Times New Roman" w:cs="Times New Roman"/>
                <w:color w:val="000000" w:themeColor="text1"/>
                <w:sz w:val="20"/>
                <w:szCs w:val="20"/>
              </w:rPr>
              <w:t>им. Кирова, 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Координаты</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45.662785,42.142835</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2E5F93">
              <w:rPr>
                <w:rFonts w:ascii="Times New Roman" w:hAnsi="Times New Roman" w:cs="Times New Roman"/>
                <w:color w:val="000000" w:themeColor="text1"/>
                <w:spacing w:val="2"/>
                <w:sz w:val="20"/>
                <w:szCs w:val="20"/>
                <w:shd w:val="clear" w:color="auto" w:fill="FFFFFF"/>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51626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размещенных отходов 15170 тонн</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Безопасное, 1 км, В</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Координаты</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45.639349,41.962402</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lang w:val="en-US"/>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r w:rsidR="0042058C" w:rsidRPr="0042058C" w:rsidTr="0042058C">
        <w:trPr>
          <w:jc w:val="center"/>
        </w:trPr>
        <w:tc>
          <w:tcPr>
            <w:tcW w:w="156" w:type="pct"/>
            <w:vAlign w:val="center"/>
          </w:tcPr>
          <w:p w:rsidR="0042058C" w:rsidRPr="0042058C" w:rsidRDefault="0042058C" w:rsidP="00953F17">
            <w:pPr>
              <w:numPr>
                <w:ilvl w:val="0"/>
                <w:numId w:val="6"/>
              </w:numPr>
              <w:spacing w:after="0" w:line="240" w:lineRule="auto"/>
              <w:jc w:val="center"/>
              <w:rPr>
                <w:rFonts w:ascii="Times New Roman" w:hAnsi="Times New Roman" w:cs="Times New Roman"/>
                <w:b/>
                <w:color w:val="000000" w:themeColor="text1"/>
                <w:sz w:val="20"/>
                <w:szCs w:val="20"/>
              </w:rPr>
            </w:pPr>
          </w:p>
        </w:tc>
        <w:tc>
          <w:tcPr>
            <w:tcW w:w="618"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602020405</w:t>
            </w:r>
          </w:p>
        </w:tc>
        <w:tc>
          <w:tcPr>
            <w:tcW w:w="539" w:type="pct"/>
            <w:vMerge/>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p>
        </w:tc>
        <w:tc>
          <w:tcPr>
            <w:tcW w:w="662"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Несанкционированная свалка</w:t>
            </w:r>
          </w:p>
        </w:tc>
        <w:tc>
          <w:tcPr>
            <w:tcW w:w="565"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Объем размещенных отходов 1602 куб.м;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Масса размещенных отходов 400 тонн</w:t>
            </w:r>
          </w:p>
        </w:tc>
        <w:tc>
          <w:tcPr>
            <w:tcW w:w="61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 Донское СЗ 1,5 км</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Координаты</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45.445500,41.946959</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lang w:val="en-US"/>
              </w:rPr>
              <w:t>Первая очередь</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Л</w:t>
            </w:r>
          </w:p>
        </w:tc>
        <w:tc>
          <w:tcPr>
            <w:tcW w:w="43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СЗЗ – 500 м</w:t>
            </w:r>
          </w:p>
        </w:tc>
        <w:tc>
          <w:tcPr>
            <w:tcW w:w="527" w:type="pct"/>
            <w:vMerge/>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p>
        </w:tc>
      </w:tr>
    </w:tbl>
    <w:p w:rsidR="0042058C" w:rsidRPr="0042058C" w:rsidRDefault="0042058C" w:rsidP="009C6893">
      <w:pPr>
        <w:spacing w:after="0" w:line="240" w:lineRule="auto"/>
      </w:pPr>
    </w:p>
    <w:p w:rsidR="0009125E" w:rsidRDefault="00A16097" w:rsidP="0009125E">
      <w:pPr>
        <w:spacing w:after="0"/>
        <w:ind w:left="284"/>
        <w:jc w:val="right"/>
        <w:outlineLvl w:val="1"/>
        <w:rPr>
          <w:rFonts w:ascii="Times New Roman" w:hAnsi="Times New Roman" w:cs="Times New Roman"/>
          <w:color w:val="000000" w:themeColor="text1"/>
          <w:sz w:val="28"/>
          <w:szCs w:val="28"/>
        </w:rPr>
      </w:pPr>
      <w:bookmarkStart w:id="28" w:name="_Toc84245641"/>
      <w:r>
        <w:rPr>
          <w:rFonts w:ascii="Times New Roman" w:hAnsi="Times New Roman" w:cs="Times New Roman"/>
          <w:color w:val="000000" w:themeColor="text1"/>
          <w:sz w:val="28"/>
          <w:szCs w:val="28"/>
        </w:rPr>
        <w:t>Таблица 15</w:t>
      </w:r>
    </w:p>
    <w:p w:rsidR="0042058C" w:rsidRDefault="0042058C" w:rsidP="0009125E">
      <w:pPr>
        <w:spacing w:after="0"/>
        <w:ind w:left="284"/>
        <w:jc w:val="center"/>
        <w:outlineLvl w:val="1"/>
        <w:rPr>
          <w:rFonts w:ascii="Times New Roman" w:hAnsi="Times New Roman" w:cs="Times New Roman"/>
          <w:color w:val="000000" w:themeColor="text1"/>
          <w:sz w:val="28"/>
          <w:szCs w:val="28"/>
        </w:rPr>
      </w:pPr>
      <w:r w:rsidRPr="0042058C">
        <w:rPr>
          <w:rFonts w:ascii="Times New Roman" w:hAnsi="Times New Roman" w:cs="Times New Roman"/>
          <w:color w:val="000000" w:themeColor="text1"/>
          <w:sz w:val="28"/>
          <w:szCs w:val="28"/>
        </w:rPr>
        <w:t>Иные объекты</w:t>
      </w:r>
      <w:bookmarkEnd w:id="28"/>
    </w:p>
    <w:p w:rsidR="00A16097" w:rsidRPr="0042058C" w:rsidRDefault="00A16097" w:rsidP="00A16097">
      <w:pPr>
        <w:spacing w:after="0"/>
        <w:ind w:left="284"/>
        <w:jc w:val="center"/>
        <w:outlineLvl w:val="1"/>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
        <w:gridCol w:w="791"/>
        <w:gridCol w:w="1187"/>
        <w:gridCol w:w="1062"/>
        <w:gridCol w:w="1349"/>
        <w:gridCol w:w="1074"/>
        <w:gridCol w:w="781"/>
        <w:gridCol w:w="954"/>
        <w:gridCol w:w="914"/>
        <w:gridCol w:w="1086"/>
      </w:tblGrid>
      <w:tr w:rsidR="0042058C" w:rsidRPr="0042058C" w:rsidTr="0042058C">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 п/п</w:t>
            </w:r>
          </w:p>
        </w:tc>
        <w:tc>
          <w:tcPr>
            <w:tcW w:w="511"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Код объекта/ справочник</w:t>
            </w:r>
          </w:p>
        </w:tc>
        <w:tc>
          <w:tcPr>
            <w:tcW w:w="58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Назначение объекта</w:t>
            </w:r>
          </w:p>
        </w:tc>
        <w:tc>
          <w:tcPr>
            <w:tcW w:w="65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Наименование</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Характеристики</w:t>
            </w:r>
          </w:p>
        </w:tc>
        <w:tc>
          <w:tcPr>
            <w:tcW w:w="55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Местоположение</w:t>
            </w:r>
          </w:p>
        </w:tc>
        <w:tc>
          <w:tcPr>
            <w:tcW w:w="399"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Срок реализации</w:t>
            </w:r>
          </w:p>
        </w:tc>
        <w:tc>
          <w:tcPr>
            <w:tcW w:w="484"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Статус объекта</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П – планируемый к размещению</w:t>
            </w:r>
          </w:p>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Р - реконструкция</w:t>
            </w:r>
          </w:p>
        </w:tc>
        <w:tc>
          <w:tcPr>
            <w:tcW w:w="456"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lastRenderedPageBreak/>
              <w:t>ЗОУИТ</w:t>
            </w:r>
          </w:p>
        </w:tc>
        <w:tc>
          <w:tcPr>
            <w:tcW w:w="527"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Источник информации</w:t>
            </w:r>
          </w:p>
        </w:tc>
      </w:tr>
      <w:tr w:rsidR="0042058C" w:rsidRPr="0042058C" w:rsidTr="0042058C">
        <w:tc>
          <w:tcPr>
            <w:tcW w:w="156" w:type="pct"/>
            <w:vAlign w:val="center"/>
          </w:tcPr>
          <w:p w:rsidR="0042058C" w:rsidRPr="0042058C" w:rsidRDefault="0042058C" w:rsidP="0042058C">
            <w:pPr>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z w:val="20"/>
                <w:szCs w:val="20"/>
              </w:rPr>
              <w:t>1.</w:t>
            </w:r>
          </w:p>
        </w:tc>
        <w:tc>
          <w:tcPr>
            <w:tcW w:w="511"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704010300</w:t>
            </w:r>
          </w:p>
        </w:tc>
        <w:tc>
          <w:tcPr>
            <w:tcW w:w="58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Обеспечение инвестиционной привлекательности территории</w:t>
            </w:r>
          </w:p>
        </w:tc>
        <w:tc>
          <w:tcPr>
            <w:tcW w:w="657"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Региональный индустриальный парк на территории Труновского муниципального округа</w:t>
            </w:r>
          </w:p>
        </w:tc>
        <w:tc>
          <w:tcPr>
            <w:tcW w:w="671"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Площадь индустриального парка 318,3 га.</w:t>
            </w:r>
          </w:p>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Направления специализации:</w:t>
            </w:r>
          </w:p>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 пищевая и перерабатывающая промышленность;</w:t>
            </w:r>
          </w:p>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 производство и переработка сельскохозяйственной продукции</w:t>
            </w:r>
          </w:p>
        </w:tc>
        <w:tc>
          <w:tcPr>
            <w:tcW w:w="553" w:type="pct"/>
            <w:shd w:val="clear" w:color="auto" w:fill="auto"/>
            <w:vAlign w:val="center"/>
          </w:tcPr>
          <w:p w:rsidR="0042058C" w:rsidRPr="0042058C" w:rsidRDefault="0042058C" w:rsidP="0042058C">
            <w:pPr>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Труновский муниципальный округ</w:t>
            </w:r>
          </w:p>
        </w:tc>
        <w:tc>
          <w:tcPr>
            <w:tcW w:w="399"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Первая очередь</w:t>
            </w:r>
          </w:p>
        </w:tc>
        <w:tc>
          <w:tcPr>
            <w:tcW w:w="484" w:type="pct"/>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z w:val="20"/>
                <w:szCs w:val="20"/>
              </w:rPr>
              <w:t>П</w:t>
            </w:r>
          </w:p>
        </w:tc>
        <w:tc>
          <w:tcPr>
            <w:tcW w:w="456"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hAnsi="Times New Roman" w:cs="Times New Roman"/>
                <w:color w:val="000000" w:themeColor="text1"/>
                <w:spacing w:val="2"/>
                <w:sz w:val="20"/>
                <w:szCs w:val="20"/>
                <w:shd w:val="clear" w:color="auto" w:fill="FFFFFF"/>
              </w:rPr>
            </w:pPr>
            <w:r w:rsidRPr="0042058C">
              <w:rPr>
                <w:rFonts w:ascii="Times New Roman" w:hAnsi="Times New Roman" w:cs="Times New Roman"/>
                <w:color w:val="000000" w:themeColor="text1"/>
                <w:spacing w:val="2"/>
                <w:sz w:val="20"/>
                <w:szCs w:val="20"/>
                <w:shd w:val="clear" w:color="auto" w:fill="FFFFFF"/>
              </w:rPr>
              <w:t>Определяется проектом</w:t>
            </w:r>
          </w:p>
        </w:tc>
        <w:tc>
          <w:tcPr>
            <w:tcW w:w="527" w:type="pct"/>
            <w:vAlign w:val="center"/>
          </w:tcPr>
          <w:p w:rsidR="0042058C" w:rsidRPr="0042058C" w:rsidRDefault="0042058C" w:rsidP="0042058C">
            <w:pPr>
              <w:spacing w:after="0" w:line="240" w:lineRule="auto"/>
              <w:jc w:val="center"/>
              <w:rPr>
                <w:rFonts w:ascii="Times New Roman" w:hAnsi="Times New Roman" w:cs="Times New Roman"/>
                <w:b/>
                <w:color w:val="000000" w:themeColor="text1"/>
                <w:sz w:val="20"/>
                <w:szCs w:val="20"/>
              </w:rPr>
            </w:pPr>
            <w:r w:rsidRPr="0042058C">
              <w:rPr>
                <w:rFonts w:ascii="Times New Roman" w:hAnsi="Times New Roman" w:cs="Times New Roman"/>
                <w:color w:val="000000" w:themeColor="text1"/>
                <w:spacing w:val="2"/>
                <w:sz w:val="20"/>
                <w:szCs w:val="20"/>
                <w:shd w:val="clear" w:color="auto" w:fill="FFFFFF"/>
              </w:rPr>
              <w:t>СТП Ставропольского края</w:t>
            </w:r>
          </w:p>
        </w:tc>
      </w:tr>
    </w:tbl>
    <w:p w:rsidR="00A16097" w:rsidRDefault="00A16097" w:rsidP="0042058C">
      <w:pPr>
        <w:spacing w:after="0"/>
        <w:ind w:firstLine="709"/>
        <w:jc w:val="both"/>
        <w:rPr>
          <w:rFonts w:ascii="Times New Roman" w:eastAsia="Times New Roman" w:hAnsi="Times New Roman" w:cs="Times New Roman"/>
          <w:b/>
          <w:sz w:val="28"/>
          <w:lang w:eastAsia="ru-RU"/>
        </w:rPr>
      </w:pPr>
    </w:p>
    <w:p w:rsidR="0042058C" w:rsidRPr="0042058C" w:rsidRDefault="0042058C" w:rsidP="0042058C">
      <w:pPr>
        <w:spacing w:after="0"/>
        <w:ind w:firstLine="709"/>
        <w:jc w:val="both"/>
        <w:rPr>
          <w:rFonts w:ascii="Times New Roman" w:eastAsia="Times New Roman" w:hAnsi="Times New Roman" w:cs="Times New Roman"/>
          <w:b/>
          <w:sz w:val="28"/>
          <w:lang w:eastAsia="ru-RU"/>
        </w:rPr>
      </w:pPr>
      <w:r w:rsidRPr="0042058C">
        <w:rPr>
          <w:rFonts w:ascii="Times New Roman" w:eastAsia="Times New Roman" w:hAnsi="Times New Roman" w:cs="Times New Roman"/>
          <w:b/>
          <w:sz w:val="28"/>
          <w:lang w:eastAsia="ru-RU"/>
        </w:rPr>
        <w:t>Статья 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42058C" w:rsidRPr="0042058C" w:rsidRDefault="0042058C" w:rsidP="0042058C">
      <w:pPr>
        <w:spacing w:after="0"/>
        <w:ind w:firstLine="709"/>
        <w:jc w:val="center"/>
        <w:rPr>
          <w:rFonts w:ascii="Times New Roman" w:eastAsia="Times New Roman" w:hAnsi="Times New Roman" w:cs="Times New Roman"/>
          <w:sz w:val="28"/>
          <w:lang w:eastAsia="ru-RU"/>
        </w:rPr>
      </w:pPr>
    </w:p>
    <w:p w:rsidR="0042058C" w:rsidRPr="0042058C" w:rsidRDefault="0042058C" w:rsidP="0042058C">
      <w:pPr>
        <w:spacing w:after="0"/>
        <w:jc w:val="both"/>
        <w:rPr>
          <w:rFonts w:ascii="Times New Roman" w:eastAsia="Times New Roman" w:hAnsi="Times New Roman" w:cs="Times New Roman"/>
          <w:color w:val="000000" w:themeColor="text1"/>
          <w:sz w:val="28"/>
          <w:szCs w:val="28"/>
          <w:lang w:eastAsia="ru-RU"/>
        </w:rPr>
      </w:pPr>
      <w:r w:rsidRPr="0042058C">
        <w:rPr>
          <w:rFonts w:ascii="Times New Roman" w:eastAsia="Arial" w:hAnsi="Times New Roman" w:cs="Times New Roman"/>
          <w:sz w:val="24"/>
        </w:rPr>
        <w:tab/>
      </w:r>
      <w:r w:rsidR="00A16097">
        <w:rPr>
          <w:rFonts w:ascii="Times New Roman" w:eastAsia="Arial" w:hAnsi="Times New Roman" w:cs="Times New Roman"/>
          <w:sz w:val="24"/>
        </w:rPr>
        <w:t xml:space="preserve">1. </w:t>
      </w:r>
      <w:r w:rsidRPr="0042058C">
        <w:rPr>
          <w:rFonts w:ascii="Times New Roman" w:eastAsia="Arial" w:hAnsi="Times New Roman" w:cs="Times New Roman"/>
          <w:color w:val="000000" w:themeColor="text1"/>
          <w:sz w:val="28"/>
          <w:szCs w:val="28"/>
        </w:rPr>
        <w:t>Общая площадь территории Труновского муниципального округа составляет 1686 км</w:t>
      </w:r>
      <w:r w:rsidRPr="0042058C">
        <w:rPr>
          <w:rFonts w:ascii="Times New Roman" w:eastAsia="Arial" w:hAnsi="Times New Roman" w:cs="Times New Roman"/>
          <w:color w:val="000000" w:themeColor="text1"/>
          <w:sz w:val="28"/>
          <w:szCs w:val="28"/>
          <w:vertAlign w:val="superscript"/>
        </w:rPr>
        <w:t>2</w:t>
      </w:r>
      <w:r w:rsidRPr="0042058C">
        <w:rPr>
          <w:rFonts w:ascii="Times New Roman" w:eastAsia="Arial" w:hAnsi="Times New Roman" w:cs="Times New Roman"/>
          <w:color w:val="000000" w:themeColor="text1"/>
          <w:sz w:val="28"/>
          <w:szCs w:val="28"/>
        </w:rPr>
        <w:t>. На территории муниципального округа настоящим проектом генерального плана выделяются следующие функциональные зоны:</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жилые зоны;</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общественно-деловые зоны;</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производственные зоны, зоны транспортной инфраструктуры, зоны инженерной инфраструктуры;</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сельскохозяйственного назначения;</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рекреационного использования;</w:t>
      </w:r>
    </w:p>
    <w:p w:rsidR="0042058C" w:rsidRPr="009C6893" w:rsidRDefault="0042058C" w:rsidP="00A16097">
      <w:pPr>
        <w:pStyle w:val="aff"/>
        <w:spacing w:after="0"/>
        <w:ind w:left="0" w:firstLine="709"/>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специального назначения.</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Кроме того, на территории Труновского муниципального округа выделяются земли лесного фонда, водного фонда. Распределение общей площади территории округа по функциональным зонам представлено ниже.</w:t>
      </w:r>
    </w:p>
    <w:p w:rsidR="009C6893" w:rsidRDefault="00A16097" w:rsidP="00B021E3">
      <w:pPr>
        <w:pStyle w:val="aff"/>
        <w:spacing w:after="0"/>
        <w:ind w:left="709"/>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1)</w:t>
      </w:r>
      <w:r w:rsidR="00B021E3">
        <w:rPr>
          <w:rFonts w:ascii="Times New Roman" w:eastAsia="Arial" w:hAnsi="Times New Roman" w:cs="Times New Roman"/>
          <w:color w:val="000000" w:themeColor="text1"/>
          <w:sz w:val="28"/>
          <w:szCs w:val="28"/>
        </w:rPr>
        <w:t xml:space="preserve"> </w:t>
      </w:r>
      <w:r w:rsidR="0042058C" w:rsidRPr="009C6893">
        <w:rPr>
          <w:rFonts w:ascii="Times New Roman" w:eastAsia="Arial" w:hAnsi="Times New Roman" w:cs="Times New Roman"/>
          <w:color w:val="000000" w:themeColor="text1"/>
          <w:sz w:val="28"/>
          <w:szCs w:val="28"/>
        </w:rPr>
        <w:t xml:space="preserve">Жилые зоны. </w:t>
      </w:r>
    </w:p>
    <w:p w:rsidR="0042058C" w:rsidRPr="009C6893" w:rsidRDefault="0042058C" w:rsidP="009C6893">
      <w:pPr>
        <w:spacing w:after="0"/>
        <w:ind w:firstLine="708"/>
        <w:jc w:val="both"/>
        <w:rPr>
          <w:rFonts w:ascii="Times New Roman" w:eastAsia="Arial" w:hAnsi="Times New Roman" w:cs="Times New Roman"/>
          <w:color w:val="000000" w:themeColor="text1"/>
          <w:sz w:val="28"/>
          <w:szCs w:val="28"/>
        </w:rPr>
      </w:pPr>
      <w:r w:rsidRPr="009C6893">
        <w:rPr>
          <w:rFonts w:ascii="Times New Roman" w:eastAsia="Arial" w:hAnsi="Times New Roman" w:cs="Times New Roman"/>
          <w:color w:val="000000" w:themeColor="text1"/>
          <w:sz w:val="28"/>
          <w:szCs w:val="28"/>
        </w:rPr>
        <w:t>Жилая зона Труновского муниципального округа представлена зоной застройки индивидуальными жилыми домами и зоной малоэтажной жилой застройки (до 4 этажей, включая мансардный).</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lastRenderedPageBreak/>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Площадь жилой зоны составляет 3877 га. На территории жилой зоны Труновского муниципального округа не планируется реализация объектов федерального значения. При реализации жилищного строительства настоящего проекта Генерального плана муниципального округа предполагается создание всех необходимых элементов социальной                    и инженерной инфраструктуры для обеспечения нужд населения                           в планируемых зонах жилой застройки.</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Объекты местного значения, предусмотренные к размещению в жилой зоне Труновского муниципального округа, представлены в статье                          1 настоящего положения.</w:t>
      </w:r>
    </w:p>
    <w:p w:rsidR="0042058C" w:rsidRPr="009C6893" w:rsidRDefault="00A16097" w:rsidP="00B021E3">
      <w:pPr>
        <w:spacing w:after="0"/>
        <w:ind w:firstLine="708"/>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2)</w:t>
      </w:r>
      <w:r w:rsidR="00B021E3">
        <w:rPr>
          <w:rFonts w:ascii="Times New Roman" w:eastAsia="Arial" w:hAnsi="Times New Roman" w:cs="Times New Roman"/>
          <w:color w:val="000000" w:themeColor="text1"/>
          <w:sz w:val="28"/>
          <w:szCs w:val="28"/>
        </w:rPr>
        <w:t xml:space="preserve"> </w:t>
      </w:r>
      <w:r w:rsidR="0042058C" w:rsidRPr="009C6893">
        <w:rPr>
          <w:rFonts w:ascii="Times New Roman" w:eastAsia="Arial" w:hAnsi="Times New Roman" w:cs="Times New Roman"/>
          <w:color w:val="000000" w:themeColor="text1"/>
          <w:sz w:val="28"/>
          <w:szCs w:val="28"/>
        </w:rPr>
        <w:t>Зона застройки индивидуальными жилыми домами. Зона индивидуального жилищного строительства самая большая. Общая площадь составляет 3856 га. Максимальная этажность 3 этажа. Объекты регионального, федерального значения не предусмотрены. Объекты местного значения указаны в п. 1-5 статьи 1 настоящего тома.</w:t>
      </w:r>
    </w:p>
    <w:p w:rsidR="0042058C" w:rsidRPr="0042058C" w:rsidRDefault="00A16097" w:rsidP="00B021E3">
      <w:pPr>
        <w:spacing w:after="0"/>
        <w:ind w:firstLine="708"/>
        <w:jc w:val="both"/>
        <w:rPr>
          <w:rFonts w:ascii="Times New Roman" w:hAnsi="Times New Roman" w:cs="Times New Roman"/>
          <w:bCs/>
          <w:noProof/>
          <w:color w:val="000000" w:themeColor="text1"/>
          <w:sz w:val="28"/>
          <w:szCs w:val="28"/>
        </w:rPr>
      </w:pPr>
      <w:r>
        <w:rPr>
          <w:rFonts w:ascii="Times New Roman" w:hAnsi="Times New Roman" w:cs="Times New Roman"/>
          <w:bCs/>
          <w:noProof/>
          <w:color w:val="000000" w:themeColor="text1"/>
          <w:sz w:val="28"/>
          <w:szCs w:val="28"/>
        </w:rPr>
        <w:t>3)</w:t>
      </w:r>
      <w:r w:rsidR="00B021E3">
        <w:rPr>
          <w:rFonts w:ascii="Times New Roman" w:hAnsi="Times New Roman" w:cs="Times New Roman"/>
          <w:bCs/>
          <w:noProof/>
          <w:color w:val="000000" w:themeColor="text1"/>
          <w:sz w:val="28"/>
          <w:szCs w:val="28"/>
        </w:rPr>
        <w:t xml:space="preserve">. </w:t>
      </w:r>
      <w:r w:rsidR="0042058C" w:rsidRPr="0042058C">
        <w:rPr>
          <w:rFonts w:ascii="Times New Roman" w:hAnsi="Times New Roman" w:cs="Times New Roman"/>
          <w:bCs/>
          <w:noProof/>
          <w:color w:val="000000" w:themeColor="text1"/>
          <w:sz w:val="28"/>
          <w:szCs w:val="28"/>
        </w:rPr>
        <w:t xml:space="preserve">Зона застройки малоэтажными жилыми домами. </w:t>
      </w:r>
      <w:r w:rsidR="0042058C" w:rsidRPr="0042058C">
        <w:rPr>
          <w:rFonts w:ascii="Times New Roman" w:eastAsia="Arial" w:hAnsi="Times New Roman" w:cs="Times New Roman"/>
          <w:color w:val="000000" w:themeColor="text1"/>
          <w:sz w:val="28"/>
          <w:szCs w:val="28"/>
        </w:rPr>
        <w:t xml:space="preserve">Общая площадь зоны – 21 га. Максимальная этажность – 4 этажа. Объекты федерального </w:t>
      </w:r>
      <w:r>
        <w:rPr>
          <w:rFonts w:ascii="Times New Roman" w:eastAsia="Arial" w:hAnsi="Times New Roman" w:cs="Times New Roman"/>
          <w:color w:val="000000" w:themeColor="text1"/>
          <w:sz w:val="28"/>
          <w:szCs w:val="28"/>
        </w:rPr>
        <w:t xml:space="preserve">                </w:t>
      </w:r>
      <w:r w:rsidR="0042058C" w:rsidRPr="0042058C">
        <w:rPr>
          <w:rFonts w:ascii="Times New Roman" w:eastAsia="Arial" w:hAnsi="Times New Roman" w:cs="Times New Roman"/>
          <w:color w:val="000000" w:themeColor="text1"/>
          <w:sz w:val="28"/>
          <w:szCs w:val="28"/>
        </w:rPr>
        <w:t>и регионального значения не предусмотрены. Объекты местного значения представлены в статье 1 положения о территориальном планировании.</w:t>
      </w:r>
    </w:p>
    <w:p w:rsidR="0042058C" w:rsidRPr="0042058C" w:rsidRDefault="00A16097" w:rsidP="00B021E3">
      <w:pPr>
        <w:spacing w:after="0"/>
        <w:ind w:firstLine="708"/>
        <w:jc w:val="both"/>
        <w:rPr>
          <w:rFonts w:ascii="Times New Roman" w:hAnsi="Times New Roman" w:cs="Times New Roman"/>
          <w:bCs/>
          <w:noProof/>
          <w:color w:val="000000" w:themeColor="text1"/>
          <w:sz w:val="28"/>
          <w:szCs w:val="28"/>
        </w:rPr>
      </w:pPr>
      <w:r>
        <w:rPr>
          <w:rFonts w:ascii="Times New Roman" w:hAnsi="Times New Roman" w:cs="Times New Roman"/>
          <w:bCs/>
          <w:noProof/>
          <w:color w:val="000000" w:themeColor="text1"/>
          <w:sz w:val="28"/>
          <w:szCs w:val="28"/>
        </w:rPr>
        <w:t>4)</w:t>
      </w:r>
      <w:r w:rsidR="00B021E3">
        <w:rPr>
          <w:rFonts w:ascii="Times New Roman" w:hAnsi="Times New Roman" w:cs="Times New Roman"/>
          <w:bCs/>
          <w:noProof/>
          <w:color w:val="000000" w:themeColor="text1"/>
          <w:sz w:val="28"/>
          <w:szCs w:val="28"/>
        </w:rPr>
        <w:t xml:space="preserve"> </w:t>
      </w:r>
      <w:r w:rsidR="0042058C" w:rsidRPr="0042058C">
        <w:rPr>
          <w:rFonts w:ascii="Times New Roman" w:hAnsi="Times New Roman" w:cs="Times New Roman"/>
          <w:bCs/>
          <w:noProof/>
          <w:color w:val="000000" w:themeColor="text1"/>
          <w:sz w:val="28"/>
          <w:szCs w:val="28"/>
        </w:rPr>
        <w:t xml:space="preserve">Зона смешанной и общественно-деловой застройки. </w:t>
      </w:r>
      <w:r w:rsidR="0042058C" w:rsidRPr="0042058C">
        <w:rPr>
          <w:rFonts w:ascii="Times New Roman" w:eastAsia="Arial" w:hAnsi="Times New Roman" w:cs="Times New Roman"/>
          <w:color w:val="000000" w:themeColor="text1"/>
          <w:sz w:val="28"/>
          <w:szCs w:val="28"/>
        </w:rPr>
        <w:t xml:space="preserve">Площадь зоны составляет 3,79 га. Объекты федерального значения отсутствуют. Полный перечень объектов местного и регионального значения указан в статье </w:t>
      </w:r>
      <w:r>
        <w:rPr>
          <w:rFonts w:ascii="Times New Roman" w:eastAsia="Arial" w:hAnsi="Times New Roman" w:cs="Times New Roman"/>
          <w:color w:val="000000" w:themeColor="text1"/>
          <w:sz w:val="28"/>
          <w:szCs w:val="28"/>
        </w:rPr>
        <w:t xml:space="preserve">                   </w:t>
      </w:r>
      <w:r w:rsidR="0042058C" w:rsidRPr="0042058C">
        <w:rPr>
          <w:rFonts w:ascii="Times New Roman" w:eastAsia="Arial" w:hAnsi="Times New Roman" w:cs="Times New Roman"/>
          <w:color w:val="000000" w:themeColor="text1"/>
          <w:sz w:val="28"/>
          <w:szCs w:val="28"/>
        </w:rPr>
        <w:t xml:space="preserve">1 и 2 положения </w:t>
      </w:r>
      <w:bookmarkStart w:id="29" w:name="_Toc532057597"/>
      <w:bookmarkStart w:id="30" w:name="_Toc4937334"/>
      <w:r w:rsidR="0042058C" w:rsidRPr="0042058C">
        <w:rPr>
          <w:rFonts w:ascii="Times New Roman" w:eastAsia="Arial" w:hAnsi="Times New Roman" w:cs="Times New Roman"/>
          <w:color w:val="000000" w:themeColor="text1"/>
          <w:sz w:val="28"/>
          <w:szCs w:val="28"/>
        </w:rPr>
        <w:t>о территориальном планировании.</w:t>
      </w:r>
    </w:p>
    <w:p w:rsidR="0042058C" w:rsidRPr="0042058C" w:rsidRDefault="00A16097" w:rsidP="00B021E3">
      <w:pPr>
        <w:spacing w:after="0"/>
        <w:ind w:firstLine="708"/>
        <w:jc w:val="both"/>
        <w:rPr>
          <w:rFonts w:ascii="Times New Roman" w:eastAsia="Arial" w:hAnsi="Times New Roman" w:cs="Times New Roman"/>
          <w:color w:val="000000" w:themeColor="text1"/>
          <w:sz w:val="28"/>
          <w:szCs w:val="28"/>
        </w:rPr>
      </w:pPr>
      <w:r>
        <w:rPr>
          <w:rFonts w:ascii="Times New Roman" w:hAnsi="Times New Roman" w:cs="Times New Roman"/>
          <w:bCs/>
          <w:noProof/>
          <w:color w:val="000000" w:themeColor="text1"/>
          <w:sz w:val="28"/>
          <w:szCs w:val="28"/>
        </w:rPr>
        <w:t xml:space="preserve">5) </w:t>
      </w:r>
      <w:r w:rsidR="0042058C" w:rsidRPr="0042058C">
        <w:rPr>
          <w:rFonts w:ascii="Times New Roman" w:hAnsi="Times New Roman" w:cs="Times New Roman"/>
          <w:bCs/>
          <w:noProof/>
          <w:color w:val="000000" w:themeColor="text1"/>
          <w:sz w:val="28"/>
          <w:szCs w:val="28"/>
        </w:rPr>
        <w:t>Общественно-делов</w:t>
      </w:r>
      <w:bookmarkEnd w:id="29"/>
      <w:bookmarkEnd w:id="30"/>
      <w:r w:rsidR="0042058C" w:rsidRPr="0042058C">
        <w:rPr>
          <w:rFonts w:ascii="Times New Roman" w:hAnsi="Times New Roman" w:cs="Times New Roman"/>
          <w:bCs/>
          <w:noProof/>
          <w:color w:val="000000" w:themeColor="text1"/>
          <w:sz w:val="28"/>
          <w:szCs w:val="28"/>
        </w:rPr>
        <w:t>ая зона</w:t>
      </w:r>
      <w:r w:rsidR="0042058C" w:rsidRPr="0042058C">
        <w:rPr>
          <w:rFonts w:ascii="Times New Roman" w:eastAsia="Arial" w:hAnsi="Times New Roman" w:cs="Times New Roman"/>
          <w:color w:val="000000" w:themeColor="text1"/>
          <w:sz w:val="28"/>
          <w:szCs w:val="28"/>
        </w:rPr>
        <w:t xml:space="preserve">. Согласно статье 35 Градостроительного кодекса Российской Федерации в состав общественно-деловых зон могут включаться: </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 xml:space="preserve">зоны делового, общественного и коммерческого назначения; </w:t>
      </w:r>
    </w:p>
    <w:p w:rsidR="0042058C" w:rsidRPr="0042058C" w:rsidRDefault="0042058C" w:rsidP="0042058C">
      <w:pPr>
        <w:spacing w:after="0"/>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ab/>
        <w:t xml:space="preserve">зоны размещения объектов социального и коммунально-бытового назначения; </w:t>
      </w:r>
    </w:p>
    <w:p w:rsidR="0042058C" w:rsidRPr="0042058C" w:rsidRDefault="0042058C" w:rsidP="0042058C">
      <w:pPr>
        <w:spacing w:after="0"/>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ab/>
        <w:t>зоны обслуживания объектов, необходимых для осуществления производственной и предпринимательской деятельности;</w:t>
      </w:r>
    </w:p>
    <w:p w:rsidR="0042058C" w:rsidRPr="0042058C" w:rsidRDefault="0042058C" w:rsidP="0042058C">
      <w:pPr>
        <w:spacing w:after="0"/>
        <w:ind w:left="774" w:hanging="65"/>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lastRenderedPageBreak/>
        <w:t xml:space="preserve">общественно-деловые зоны иных видов. </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Данная зона включается в себя многофункциональную общественно-деловую зону и зону специализированной общественной застройки.</w:t>
      </w:r>
    </w:p>
    <w:p w:rsidR="0042058C" w:rsidRPr="0042058C" w:rsidRDefault="0042058C" w:rsidP="0042058C">
      <w:pPr>
        <w:spacing w:after="0"/>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Общая площадь зоны составляет 125,91 га. Перечень объектов местного                 и регионального значения указан в статье 1 и 2 настоящего положения.</w:t>
      </w:r>
      <w:bookmarkStart w:id="31" w:name="_Toc532057598"/>
      <w:bookmarkStart w:id="32" w:name="_Toc4937335"/>
    </w:p>
    <w:p w:rsidR="0042058C" w:rsidRPr="0042058C" w:rsidRDefault="0042058C" w:rsidP="0042058C">
      <w:pPr>
        <w:spacing w:after="0"/>
        <w:jc w:val="both"/>
        <w:rPr>
          <w:rFonts w:ascii="Times New Roman" w:eastAsia="Arial" w:hAnsi="Times New Roman" w:cs="Times New Roman"/>
          <w:color w:val="000000" w:themeColor="text1"/>
          <w:sz w:val="28"/>
          <w:szCs w:val="28"/>
        </w:rPr>
      </w:pPr>
      <w:r w:rsidRPr="0042058C">
        <w:rPr>
          <w:rFonts w:ascii="Times New Roman" w:hAnsi="Times New Roman" w:cs="Times New Roman"/>
          <w:bCs/>
          <w:noProof/>
          <w:color w:val="000000" w:themeColor="text1"/>
          <w:sz w:val="28"/>
          <w:szCs w:val="28"/>
        </w:rPr>
        <w:tab/>
      </w:r>
      <w:bookmarkEnd w:id="31"/>
      <w:bookmarkEnd w:id="32"/>
      <w:r w:rsidR="00A16097">
        <w:rPr>
          <w:rFonts w:ascii="Times New Roman" w:hAnsi="Times New Roman" w:cs="Times New Roman"/>
          <w:bCs/>
          <w:noProof/>
          <w:color w:val="000000" w:themeColor="text1"/>
          <w:sz w:val="28"/>
          <w:szCs w:val="28"/>
        </w:rPr>
        <w:t>6)</w:t>
      </w:r>
      <w:r w:rsidR="00B021E3">
        <w:rPr>
          <w:rFonts w:ascii="Times New Roman" w:hAnsi="Times New Roman" w:cs="Times New Roman"/>
          <w:bCs/>
          <w:noProof/>
          <w:color w:val="000000" w:themeColor="text1"/>
          <w:sz w:val="28"/>
          <w:szCs w:val="28"/>
        </w:rPr>
        <w:t xml:space="preserve"> </w:t>
      </w:r>
      <w:r w:rsidRPr="0042058C">
        <w:rPr>
          <w:rFonts w:ascii="Times New Roman" w:hAnsi="Times New Roman" w:cs="Times New Roman"/>
          <w:bCs/>
          <w:noProof/>
          <w:color w:val="000000" w:themeColor="text1"/>
          <w:sz w:val="28"/>
          <w:szCs w:val="28"/>
        </w:rPr>
        <w:t>Производственные зоны, зоны инженерной и транспортной инфраструктур.</w:t>
      </w:r>
      <w:r w:rsidRPr="0042058C">
        <w:rPr>
          <w:rFonts w:ascii="Times New Roman" w:eastAsia="Arial" w:hAnsi="Times New Roman" w:cs="Times New Roman"/>
          <w:color w:val="000000" w:themeColor="text1"/>
          <w:sz w:val="28"/>
          <w:szCs w:val="28"/>
        </w:rPr>
        <w:t xml:space="preserve">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В пределах зоны размещаются объекты в сфере водоснабжения; водоотведения (очистные сооружения, КНС, магистральные сети); электроснабжения, газоснабжения; дождевой канализации; теплоснабжения (магистральные сети, котельные). Данная зона также разрешает размещать здания коммерции, допускаемых к размещению в промышленных зонах. Включает в себя: производственную зону, зону инженерной инфраструктуры, зону транспортной инфраструктуры. Общая площадь зоны составит 716,6 </w:t>
      </w:r>
      <w:r w:rsidR="00A16097">
        <w:rPr>
          <w:rFonts w:ascii="Times New Roman" w:eastAsia="Arial" w:hAnsi="Times New Roman" w:cs="Times New Roman"/>
          <w:color w:val="000000" w:themeColor="text1"/>
          <w:sz w:val="28"/>
          <w:szCs w:val="28"/>
        </w:rPr>
        <w:t xml:space="preserve">                     </w:t>
      </w:r>
      <w:r w:rsidRPr="0042058C">
        <w:rPr>
          <w:rFonts w:ascii="Times New Roman" w:eastAsia="Arial" w:hAnsi="Times New Roman" w:cs="Times New Roman"/>
          <w:color w:val="000000" w:themeColor="text1"/>
          <w:sz w:val="28"/>
          <w:szCs w:val="28"/>
        </w:rPr>
        <w:t>га.</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 xml:space="preserve">В пределах данной зоны не предусмотрено объектов федерального значения. Объекты регионального значения представлены в п. 1-5 статьи           2 положения о территориальном планировании. </w:t>
      </w:r>
    </w:p>
    <w:p w:rsidR="0042058C" w:rsidRPr="0042058C" w:rsidRDefault="00A16097" w:rsidP="00B021E3">
      <w:pPr>
        <w:spacing w:after="0"/>
        <w:ind w:firstLine="708"/>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7)</w:t>
      </w:r>
      <w:r w:rsidR="00B021E3">
        <w:rPr>
          <w:rFonts w:ascii="Times New Roman" w:eastAsia="Arial" w:hAnsi="Times New Roman" w:cs="Times New Roman"/>
          <w:color w:val="000000" w:themeColor="text1"/>
          <w:sz w:val="28"/>
          <w:szCs w:val="28"/>
        </w:rPr>
        <w:t xml:space="preserve"> </w:t>
      </w:r>
      <w:r w:rsidR="0042058C" w:rsidRPr="0042058C">
        <w:rPr>
          <w:rFonts w:ascii="Times New Roman" w:hAnsi="Times New Roman" w:cs="Times New Roman"/>
          <w:bCs/>
          <w:noProof/>
          <w:color w:val="000000" w:themeColor="text1"/>
          <w:sz w:val="28"/>
          <w:szCs w:val="28"/>
        </w:rPr>
        <w:t>Зона сельскохозяйственного назначения.</w:t>
      </w:r>
      <w:r w:rsidR="0042058C" w:rsidRPr="0042058C">
        <w:rPr>
          <w:rFonts w:ascii="Times New Roman" w:eastAsia="Arial" w:hAnsi="Times New Roman" w:cs="Times New Roman"/>
          <w:color w:val="000000" w:themeColor="text1"/>
          <w:sz w:val="28"/>
          <w:szCs w:val="28"/>
        </w:rPr>
        <w:t xml:space="preserve"> Данная зона является самой большой функциональной зоной. Включает в себя: зону сельскохозяйственных угодий, производственную зону сельскохозяйственных предприятий, и зону садоводческих, огороднических или дачных некоммерческих объединений граждан. Предусматривает размещение объектов сельскохозяйственного назначения, выращивания культур, производства продукции, пашни, пастбища, сенокосы и др.</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lastRenderedPageBreak/>
        <w:t>Её площадь составляет 6566,4 га. Объекты федерального значения              в данной зоне не предусмотрены. Объекты регионального и местного значения указаны в статье 1 и 2 положения о территориальном планировании.</w:t>
      </w:r>
      <w:bookmarkStart w:id="33" w:name="_Toc532057600"/>
      <w:bookmarkStart w:id="34" w:name="_Toc4937336"/>
    </w:p>
    <w:p w:rsidR="0042058C" w:rsidRPr="0042058C" w:rsidRDefault="00A16097" w:rsidP="00B021E3">
      <w:pPr>
        <w:spacing w:after="0"/>
        <w:ind w:firstLine="708"/>
        <w:jc w:val="both"/>
        <w:rPr>
          <w:rFonts w:ascii="Times New Roman" w:hAnsi="Times New Roman" w:cs="Times New Roman"/>
          <w:bCs/>
          <w:noProof/>
          <w:color w:val="000000" w:themeColor="text1"/>
          <w:sz w:val="28"/>
          <w:szCs w:val="28"/>
        </w:rPr>
      </w:pPr>
      <w:r>
        <w:rPr>
          <w:rFonts w:ascii="Times New Roman" w:hAnsi="Times New Roman" w:cs="Times New Roman"/>
          <w:bCs/>
          <w:noProof/>
          <w:color w:val="000000" w:themeColor="text1"/>
          <w:sz w:val="28"/>
          <w:szCs w:val="28"/>
        </w:rPr>
        <w:t>8)</w:t>
      </w:r>
      <w:r w:rsidR="00B021E3">
        <w:rPr>
          <w:rFonts w:ascii="Times New Roman" w:hAnsi="Times New Roman" w:cs="Times New Roman"/>
          <w:bCs/>
          <w:noProof/>
          <w:color w:val="000000" w:themeColor="text1"/>
          <w:sz w:val="28"/>
          <w:szCs w:val="28"/>
        </w:rPr>
        <w:t xml:space="preserve"> </w:t>
      </w:r>
      <w:r w:rsidR="0042058C" w:rsidRPr="0042058C">
        <w:rPr>
          <w:rFonts w:ascii="Times New Roman" w:hAnsi="Times New Roman" w:cs="Times New Roman"/>
          <w:bCs/>
          <w:noProof/>
          <w:color w:val="000000" w:themeColor="text1"/>
          <w:sz w:val="28"/>
          <w:szCs w:val="28"/>
        </w:rPr>
        <w:t xml:space="preserve">Зона рекреационного </w:t>
      </w:r>
      <w:bookmarkEnd w:id="33"/>
      <w:bookmarkEnd w:id="34"/>
      <w:r w:rsidR="0042058C" w:rsidRPr="0042058C">
        <w:rPr>
          <w:rFonts w:ascii="Times New Roman" w:hAnsi="Times New Roman" w:cs="Times New Roman"/>
          <w:bCs/>
          <w:noProof/>
          <w:color w:val="000000" w:themeColor="text1"/>
          <w:sz w:val="28"/>
          <w:szCs w:val="28"/>
        </w:rPr>
        <w:t xml:space="preserve">использования. </w:t>
      </w:r>
      <w:r w:rsidR="0042058C" w:rsidRPr="0042058C">
        <w:rPr>
          <w:rFonts w:ascii="Times New Roman" w:eastAsia="Arial" w:hAnsi="Times New Roman" w:cs="Times New Roman"/>
          <w:color w:val="000000" w:themeColor="text1"/>
          <w:sz w:val="28"/>
          <w:szCs w:val="28"/>
        </w:rPr>
        <w:t>Данная зона включает в себя зону озелененных территорий общего пользования (лесопарки, парки, сады, скверы, бульвары, городские леса) и зону отдыха.</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Общая площадь зоны составляет 245,9 га территории Труновского муниципального округа. Данная зона предусматривает размещение парков, скверов, садов, бульваров, набережных,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Настоящим проектом предполагается расширение данной функциональной зоны с целью развития сельских населенных пунктов                 и роста числа благоустроенных территорий.</w:t>
      </w:r>
    </w:p>
    <w:p w:rsidR="0042058C" w:rsidRPr="0042058C" w:rsidRDefault="0042058C" w:rsidP="0042058C">
      <w:pPr>
        <w:spacing w:after="0"/>
        <w:ind w:firstLine="709"/>
        <w:jc w:val="both"/>
        <w:rPr>
          <w:rFonts w:ascii="Times New Roman" w:eastAsia="Arial" w:hAnsi="Times New Roman" w:cs="Times New Roman"/>
          <w:color w:val="000000" w:themeColor="text1"/>
          <w:sz w:val="28"/>
          <w:szCs w:val="28"/>
        </w:rPr>
      </w:pPr>
      <w:r w:rsidRPr="0042058C">
        <w:rPr>
          <w:rFonts w:ascii="Times New Roman" w:eastAsia="Arial" w:hAnsi="Times New Roman" w:cs="Times New Roman"/>
          <w:color w:val="000000" w:themeColor="text1"/>
          <w:sz w:val="28"/>
          <w:szCs w:val="28"/>
        </w:rPr>
        <w:t>Объекты федерального и регионального значения не предусмотрены. Подробный перечень объектов (проектов) местного значения для размещения в зоне рекреационного назначения представлен в статье 1 настоящего положения.</w:t>
      </w:r>
      <w:bookmarkStart w:id="35" w:name="_Toc532057604"/>
      <w:bookmarkStart w:id="36" w:name="_Toc4937339"/>
    </w:p>
    <w:bookmarkEnd w:id="35"/>
    <w:bookmarkEnd w:id="36"/>
    <w:p w:rsidR="0042058C" w:rsidRPr="0042058C" w:rsidRDefault="00A16097" w:rsidP="00524A7A">
      <w:pPr>
        <w:spacing w:after="0"/>
        <w:ind w:firstLine="708"/>
        <w:jc w:val="both"/>
        <w:rPr>
          <w:rFonts w:ascii="Times New Roman" w:hAnsi="Times New Roman" w:cs="Times New Roman"/>
          <w:bCs/>
          <w:noProof/>
          <w:color w:val="000000" w:themeColor="text1"/>
          <w:sz w:val="28"/>
          <w:szCs w:val="28"/>
        </w:rPr>
      </w:pPr>
      <w:r>
        <w:rPr>
          <w:rFonts w:ascii="Times New Roman" w:hAnsi="Times New Roman" w:cs="Times New Roman"/>
          <w:bCs/>
          <w:noProof/>
          <w:color w:val="000000" w:themeColor="text1"/>
          <w:sz w:val="28"/>
          <w:szCs w:val="28"/>
        </w:rPr>
        <w:t>9)</w:t>
      </w:r>
      <w:r w:rsidR="00524A7A">
        <w:rPr>
          <w:rFonts w:ascii="Times New Roman" w:hAnsi="Times New Roman" w:cs="Times New Roman"/>
          <w:bCs/>
          <w:noProof/>
          <w:color w:val="000000" w:themeColor="text1"/>
          <w:sz w:val="28"/>
          <w:szCs w:val="28"/>
        </w:rPr>
        <w:t xml:space="preserve"> </w:t>
      </w:r>
      <w:r w:rsidR="0042058C" w:rsidRPr="0042058C">
        <w:rPr>
          <w:rFonts w:ascii="Times New Roman" w:hAnsi="Times New Roman" w:cs="Times New Roman"/>
          <w:bCs/>
          <w:noProof/>
          <w:color w:val="000000" w:themeColor="text1"/>
          <w:sz w:val="28"/>
          <w:szCs w:val="28"/>
        </w:rPr>
        <w:t xml:space="preserve">Зоны специального назначения. </w:t>
      </w:r>
      <w:r w:rsidR="0042058C" w:rsidRPr="0042058C">
        <w:rPr>
          <w:rFonts w:ascii="Times New Roman" w:eastAsia="Arial" w:hAnsi="Times New Roman" w:cs="Times New Roman"/>
          <w:color w:val="000000" w:themeColor="text1"/>
          <w:sz w:val="28"/>
          <w:szCs w:val="28"/>
        </w:rPr>
        <w:t xml:space="preserve">Зона специального назначения занимает площадь 218,46 га. Включает  в себя зону кладбищ, зону складирования и захоронения отходов и зону озелененных территорий специального назначения. Объекты федерального значения в данной зоне не предусмотрены, объекты регионального значения указаны в п. 6 статьи </w:t>
      </w:r>
      <w:r w:rsidR="00524A7A">
        <w:rPr>
          <w:rFonts w:ascii="Times New Roman" w:eastAsia="Arial" w:hAnsi="Times New Roman" w:cs="Times New Roman"/>
          <w:color w:val="000000" w:themeColor="text1"/>
          <w:sz w:val="28"/>
          <w:szCs w:val="28"/>
        </w:rPr>
        <w:t xml:space="preserve">           </w:t>
      </w:r>
      <w:r w:rsidR="0042058C" w:rsidRPr="0042058C">
        <w:rPr>
          <w:rFonts w:ascii="Times New Roman" w:eastAsia="Arial" w:hAnsi="Times New Roman" w:cs="Times New Roman"/>
          <w:color w:val="000000" w:themeColor="text1"/>
          <w:sz w:val="28"/>
          <w:szCs w:val="28"/>
        </w:rPr>
        <w:t>2 настоящего положения. Полный перечень объектов местного значения указан в п. 6 статьи 1 и 2.</w:t>
      </w:r>
    </w:p>
    <w:p w:rsidR="00A16097" w:rsidRDefault="00A16097" w:rsidP="00524A7A">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p>
    <w:p w:rsidR="0042058C" w:rsidRPr="0042058C" w:rsidRDefault="00A16097" w:rsidP="00524A7A">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Глава</w:t>
      </w:r>
      <w:r w:rsidR="0042058C" w:rsidRPr="0042058C">
        <w:rPr>
          <w:rFonts w:ascii="Times New Roman" w:eastAsia="Times New Roman" w:hAnsi="Times New Roman" w:cs="Times New Roman"/>
          <w:b/>
          <w:sz w:val="28"/>
          <w:szCs w:val="28"/>
          <w:lang w:eastAsia="ru-RU"/>
        </w:rPr>
        <w:t xml:space="preserve"> 2. Материалы по обоснованию</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bookmarkStart w:id="37" w:name="_Toc85173257"/>
      <w:r w:rsidRPr="0042058C">
        <w:rPr>
          <w:rFonts w:ascii="Times New Roman" w:eastAsia="Times New Roman" w:hAnsi="Times New Roman" w:cs="Times New Roman"/>
          <w:b/>
          <w:bCs/>
          <w:sz w:val="28"/>
          <w:szCs w:val="28"/>
          <w:lang w:eastAsia="ru-RU"/>
        </w:rPr>
        <w:t xml:space="preserve">Статья </w:t>
      </w:r>
      <w:r w:rsidR="00C952A3">
        <w:rPr>
          <w:rFonts w:ascii="Times New Roman" w:eastAsia="Times New Roman" w:hAnsi="Times New Roman" w:cs="Times New Roman"/>
          <w:b/>
          <w:bCs/>
          <w:sz w:val="28"/>
          <w:szCs w:val="28"/>
          <w:lang w:eastAsia="ru-RU"/>
        </w:rPr>
        <w:t>4</w:t>
      </w:r>
      <w:r w:rsidRPr="0042058C">
        <w:rPr>
          <w:rFonts w:ascii="Times New Roman" w:eastAsia="Times New Roman" w:hAnsi="Times New Roman" w:cs="Times New Roman"/>
          <w:b/>
          <w:bCs/>
          <w:sz w:val="28"/>
          <w:szCs w:val="28"/>
          <w:lang w:eastAsia="ru-RU"/>
        </w:rPr>
        <w:t xml:space="preserve">. </w:t>
      </w:r>
      <w:bookmarkEnd w:id="37"/>
      <w:r w:rsidRPr="0042058C">
        <w:rPr>
          <w:rFonts w:ascii="Times New Roman" w:eastAsia="Times New Roman" w:hAnsi="Times New Roman" w:cs="Times New Roman"/>
          <w:b/>
          <w:bCs/>
          <w:sz w:val="28"/>
          <w:szCs w:val="28"/>
          <w:lang w:eastAsia="ru-RU"/>
        </w:rPr>
        <w:t>Общие положения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bookmarkStart w:id="38" w:name="_Toc85173258"/>
      <w:r w:rsidRPr="0042058C">
        <w:rPr>
          <w:rFonts w:ascii="Times New Roman" w:eastAsia="Times New Roman" w:hAnsi="Times New Roman" w:cs="Times New Roman"/>
          <w:bCs/>
          <w:sz w:val="28"/>
          <w:szCs w:val="28"/>
          <w:lang w:eastAsia="ru-RU"/>
        </w:rPr>
        <w:t xml:space="preserve">1. </w:t>
      </w:r>
      <w:bookmarkEnd w:id="38"/>
      <w:r w:rsidRPr="0042058C">
        <w:rPr>
          <w:rFonts w:ascii="Times New Roman" w:eastAsia="Times New Roman" w:hAnsi="Times New Roman" w:cs="Times New Roman"/>
          <w:bCs/>
          <w:sz w:val="28"/>
          <w:szCs w:val="28"/>
          <w:lang w:eastAsia="ru-RU"/>
        </w:rPr>
        <w:t xml:space="preserve">Основная цель генерального плана Труновского муниципального округа – определение назначения территорий, исходя из совокупности социальных, экономических, экологических и градостроительных факторов для обеспечения устойчивого развития его территорий, развития инженерной, транспортной и социальной инфраструктур, обеспечения учета интересов граждан Труновского муниципального округа и их объединений, ограничение негативного воздействия хозяйственной и иной деятельности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на окружающую среду и обеспечение охраны и рационального </w:t>
      </w:r>
      <w:r w:rsidRPr="0042058C">
        <w:rPr>
          <w:rFonts w:ascii="Times New Roman" w:eastAsia="Times New Roman" w:hAnsi="Times New Roman" w:cs="Times New Roman"/>
          <w:bCs/>
          <w:sz w:val="28"/>
          <w:szCs w:val="28"/>
          <w:lang w:eastAsia="ru-RU"/>
        </w:rPr>
        <w:lastRenderedPageBreak/>
        <w:t xml:space="preserve">использования природных ресурсов, а также определение тенденций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перспектив развития территории округа на первую очередь (до 2031 г.)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расчетный срок                           (до 2041 г.).</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Для достижения цели в рамках настоящей НИР были поставлены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решены следующие задачи</w:t>
      </w:r>
      <w:r w:rsidRPr="0042058C">
        <w:rPr>
          <w:rFonts w:ascii="Times New Roman" w:eastAsia="Times New Roman" w:hAnsi="Times New Roman" w:cs="Times New Roman"/>
          <w:bCs/>
          <w:sz w:val="28"/>
          <w:szCs w:val="28"/>
          <w:vertAlign w:val="superscript"/>
          <w:lang w:eastAsia="ru-RU"/>
        </w:rPr>
        <w:footnoteReference w:id="2"/>
      </w:r>
      <w:r w:rsidRPr="0042058C">
        <w:rPr>
          <w:rFonts w:ascii="Times New Roman" w:eastAsia="Times New Roman" w:hAnsi="Times New Roman" w:cs="Times New Roman"/>
          <w:bCs/>
          <w:sz w:val="28"/>
          <w:szCs w:val="28"/>
          <w:lang w:eastAsia="ru-RU"/>
        </w:rPr>
        <w:t>:</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создание действенного инструмента управления развитием территории в соответствии с законодательством Российской Федерации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Ставропольского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решение наиболее острых проблем пространственного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градостроительного развития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создание комфортных условий для жизнедеятельности населения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благоприятного бизнес-климата;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обеспечение учета интересов граждан и их объединений в пределах территории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определение резервных территорий, в целях территориального развития, а также в целях организации инвестиционных площадок для различного хозяйственного использования.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выполнение прикладных научных исследований, обосновывающих предлагаемые градостроительные решения на основе анализа современного использования территории, возможных направлений ее развития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прогнозируемых ограничений;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создание градостроительных условий для повышения инвестиционной привлекательности территории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создание условий для устойчивого развития территории Труновского муниципального округа, путем разработки его перспективной пространственной структуры, имеющей целью определение основных направлений рационального и взаимоувязанного размещения в пределах Труновского муниципального округа промышленного, сельскохозяйственного, гражданского, транспортного и рекреационного строительства на основе ожидаемого перспективного развития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функционального зонирования территории;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обоснование размещения объектов местного значения в целях реализации полномочий органами местного самоуправления;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установление границ населенных пунктов, входящих в состав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прогноз перспективной численности населения Труновского муниципального округа;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lastRenderedPageBreak/>
        <w:t xml:space="preserve">разработка предложений по развитию транспортных связей, энергоснабжению, газо- и теплоснабжению, водоснабжению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водоотведению для Труновского муниципального округа;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разработка предложений по охране окружающей природной среды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улучшению санитарно-гигиенических условий;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обоснование границ, задач и очередности градостроительного планирования;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выработка соответствующих рекомендаций для внедрения новых «чистых» технологий в энергетике и производстве, ограничения вредных выбросов, а также по другим вопросам экологически устойчивого строительства;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обеспечение устойчивого поэтапного развития муниципальный среды, упорядочение застройки, оптимизация использования территорий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повышение уровня экологической безопасности;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сохранение природных ландшафтов и использование их в организации отдыха, развитие сфер туристической направленности;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выявление современных проблем пространственного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градостроительного развития на основе ретроспективного анализа социально-экономической и градостроительной ситуации на территории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разработка оптимальной транспортной сети с учётом современного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прогнозируемого развития территориальной социально-экономической системы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изменение границ населенных пунктов, входящих в состав Труновского муниципального округа (при необходимости);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организационное и проектное обеспечение подготовки и утверждения проекта генерального плана Труновского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2. Подготовка генерального плана Труновского муниципального округа Ставропольского края, в соответствии с ГрК РФ</w:t>
      </w:r>
      <w:r w:rsidRPr="0042058C">
        <w:rPr>
          <w:rFonts w:ascii="Times New Roman" w:eastAsia="Times New Roman" w:hAnsi="Times New Roman" w:cs="Times New Roman"/>
          <w:bCs/>
          <w:sz w:val="28"/>
          <w:szCs w:val="28"/>
          <w:vertAlign w:val="superscript"/>
          <w:lang w:eastAsia="ru-RU"/>
        </w:rPr>
        <w:footnoteReference w:id="3"/>
      </w:r>
      <w:r w:rsidRPr="0042058C">
        <w:rPr>
          <w:rFonts w:ascii="Times New Roman" w:eastAsia="Times New Roman" w:hAnsi="Times New Roman" w:cs="Times New Roman"/>
          <w:bCs/>
          <w:sz w:val="28"/>
          <w:szCs w:val="28"/>
          <w:lang w:eastAsia="ru-RU"/>
        </w:rPr>
        <w:t>, выполнена с учетом положений: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стратегии социально-экономического развития Труновского муниципального округа Ставропольского края до 2035 года;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плана мероприятий по реализации Стратегии социально-экономического развития Труновского муниципального округа Ставропольского края до 2035 года;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проекта бюджетного прогноза Труновского муниципального округа Ставропольского края на период до 2027 года;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стратегии пространственного развития Российской Федерации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на период до 2025 года;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государственных программ Российской Федерации (Приложение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1 настоящего тома);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национальных проектов;</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lastRenderedPageBreak/>
        <w:t xml:space="preserve">государственных программ Ставропольского края (Приложение </w:t>
      </w:r>
      <w:r w:rsidR="000E5508">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2 настоящего тома);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муниципальных программ Труновского муниципального округа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инвестиционных программ субъектов естественных монополий, организаций коммунального комплекса;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решений органов местного самоуправления;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иных документов с учетом главных распорядителей средств соответствующих бюджетов, предусматривающих создание объектов местного значения;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сведений, содержащихся в информационной системе территориального планирования (ФГИС ТП).</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Обозначенные документы использовались для определения перечня объектов местного значения, планируемых для размещения на территории Труновского муниципального округа, а также объектов регионального значения Ставропольского края и объектов федерального значения.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Перечень муниципальных программ Труновского муниципального округа, реализуемых на территории округа приведен в таблице.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                                                                                                    Таблица 1</w:t>
      </w:r>
      <w:r w:rsidR="0009125E">
        <w:rPr>
          <w:rFonts w:ascii="Times New Roman" w:eastAsia="Times New Roman" w:hAnsi="Times New Roman" w:cs="Times New Roman"/>
          <w:bCs/>
          <w:sz w:val="28"/>
          <w:szCs w:val="28"/>
          <w:lang w:eastAsia="ru-RU"/>
        </w:rPr>
        <w:t>6</w:t>
      </w:r>
      <w:r w:rsidRPr="0042058C">
        <w:rPr>
          <w:rFonts w:ascii="Times New Roman" w:eastAsia="Times New Roman" w:hAnsi="Times New Roman" w:cs="Times New Roman"/>
          <w:bCs/>
          <w:sz w:val="28"/>
          <w:szCs w:val="28"/>
          <w:lang w:eastAsia="ru-RU"/>
        </w:rPr>
        <w:t xml:space="preserve"> </w:t>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Перечень муниципальных программ Труновского муниципального округа Ставропольского края</w:t>
      </w:r>
      <w:r w:rsidRPr="0042058C">
        <w:rPr>
          <w:rFonts w:ascii="Times New Roman" w:eastAsia="Times New Roman" w:hAnsi="Times New Roman" w:cs="Times New Roman"/>
          <w:bCs/>
          <w:sz w:val="28"/>
          <w:szCs w:val="28"/>
          <w:vertAlign w:val="superscript"/>
          <w:lang w:eastAsia="ru-RU"/>
        </w:rPr>
        <w:footnoteReference w:id="4"/>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8"/>
        <w:gridCol w:w="3123"/>
        <w:gridCol w:w="3176"/>
        <w:gridCol w:w="2691"/>
      </w:tblGrid>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п/п</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Наименование муниципальной программы</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Реквизиты утверждающего документа</w:t>
            </w:r>
          </w:p>
        </w:tc>
        <w:tc>
          <w:tcPr>
            <w:tcW w:w="142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Ответственный исполнитель</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Развитие образования в Труновском муниципальном округе Ставропольского края </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 98-п от 30.12.2020 </w:t>
            </w:r>
          </w:p>
        </w:tc>
        <w:tc>
          <w:tcPr>
            <w:tcW w:w="142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Отдел образования Администрации Труновского муниципального округа Ставропольского края </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Сохранение и развитие культуры в Труновском муниципальном округе Ставропольского края </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Постановление Администрации Труновского муниципального округа Ставропольского края от 30.12.2020 № 92-п</w:t>
            </w:r>
          </w:p>
        </w:tc>
        <w:tc>
          <w:tcPr>
            <w:tcW w:w="142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Отдел культуры Администрации Труновского муниципального округа Ставропольского края</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Развитие транспортной системы и обеспечение дорожного движения в Труновском муниципальном округе Ставропольского края </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Постановление Администрации Труновского муниципального округа Ставропольского края от 25.12.2020 № 77-п</w:t>
            </w:r>
          </w:p>
        </w:tc>
        <w:tc>
          <w:tcPr>
            <w:tcW w:w="1421" w:type="pct"/>
            <w:vMerge w:val="restar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Администрация Труновского муниципального округа Ставропольского края</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4</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Формирование современной городской среды в Труновском муниципальном округе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26.12.2020 № 85-п </w:t>
            </w:r>
          </w:p>
        </w:tc>
        <w:tc>
          <w:tcPr>
            <w:tcW w:w="1421" w:type="pct"/>
            <w:vMerge/>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Благоустройство территории Труновского муниципального округа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Постановление Администрации Труновского муниципального округа Ставропольского края от 26.12.2020 № 85-п</w:t>
            </w:r>
          </w:p>
        </w:tc>
        <w:tc>
          <w:tcPr>
            <w:tcW w:w="1421" w:type="pct"/>
            <w:vMerge/>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6</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Обеспечение жильем молодых семей на территории Труновского муниципального округа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29.09.2021 № 882-п </w:t>
            </w:r>
          </w:p>
        </w:tc>
        <w:tc>
          <w:tcPr>
            <w:tcW w:w="1421" w:type="pct"/>
            <w:vMerge/>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lastRenderedPageBreak/>
              <w:t>7</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Развитие физической культуры и спорта в Труновском муниципальном округе Ставропольского края </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11.01.2021 № 50-п </w:t>
            </w:r>
          </w:p>
        </w:tc>
        <w:tc>
          <w:tcPr>
            <w:tcW w:w="142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Комитет по физической культуре и спорту Администрации Труновского муниципального округа Ставропольского края</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8</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Развитие сельского хозяйства в Труновском муниципальном округе Ставропольского края </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Постановление Администрации Труновского муниципального округа Ставропольского края от 25.12.2020 № 74-п</w:t>
            </w:r>
          </w:p>
        </w:tc>
        <w:tc>
          <w:tcPr>
            <w:tcW w:w="1421" w:type="pct"/>
            <w:vMerge w:val="restar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Администрация Труновского муниципального округа Ставропольского края</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9</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Развитие экономического потенциала на территории Труновского муниципального округа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30.12.2020 № 91-п </w:t>
            </w:r>
          </w:p>
        </w:tc>
        <w:tc>
          <w:tcPr>
            <w:tcW w:w="1421" w:type="pct"/>
            <w:vMerge/>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10</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Обеспечение безопасности, профилактика терроризма и экстремизма, а также минимизация и (или) ликвидация последствий проявления терроризма и экстремизма на территории Труновского муниципального округа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30.12.2020 № 93-п </w:t>
            </w:r>
          </w:p>
        </w:tc>
        <w:tc>
          <w:tcPr>
            <w:tcW w:w="1421" w:type="pct"/>
            <w:vMerge/>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11</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Социальная поддержка граждан в Труновском муниципальном округе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Постановление Администрации Труновского муниципального округа Ставропольского края от 11.01.2021 № 58-п </w:t>
            </w:r>
          </w:p>
        </w:tc>
        <w:tc>
          <w:tcPr>
            <w:tcW w:w="142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Управление труда и социальной защиты населения Администрации Труновского муниципального округа Ставропольского края</w:t>
            </w:r>
          </w:p>
        </w:tc>
      </w:tr>
      <w:tr w:rsidR="0042058C" w:rsidRPr="0042058C" w:rsidTr="0042058C">
        <w:trPr>
          <w:trHeight w:val="20"/>
        </w:trPr>
        <w:tc>
          <w:tcPr>
            <w:tcW w:w="253" w:type="pct"/>
            <w:vAlign w:val="center"/>
          </w:tcPr>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12</w:t>
            </w:r>
          </w:p>
        </w:tc>
        <w:tc>
          <w:tcPr>
            <w:tcW w:w="1649"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Развитие муниципальной службы в Труновском муниципальном округе Ставропольского края</w:t>
            </w:r>
          </w:p>
        </w:tc>
        <w:tc>
          <w:tcPr>
            <w:tcW w:w="167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Постановление Администрации Труновского муниципального округа Ставропольского края от 29.09.2021 № 882-п</w:t>
            </w:r>
          </w:p>
        </w:tc>
        <w:tc>
          <w:tcPr>
            <w:tcW w:w="142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Администрация Труновского муниципального округа Ставропольского края</w:t>
            </w:r>
          </w:p>
        </w:tc>
      </w:tr>
    </w:tbl>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bookmarkStart w:id="39" w:name="_Toc85173260"/>
      <w:r w:rsidRPr="0042058C">
        <w:rPr>
          <w:rFonts w:ascii="Times New Roman" w:eastAsia="Times New Roman" w:hAnsi="Times New Roman" w:cs="Times New Roman"/>
          <w:bCs/>
          <w:sz w:val="28"/>
          <w:szCs w:val="28"/>
          <w:lang w:eastAsia="ru-RU"/>
        </w:rPr>
        <w:t xml:space="preserve">3. </w:t>
      </w:r>
      <w:bookmarkEnd w:id="39"/>
      <w:r w:rsidRPr="0042058C">
        <w:rPr>
          <w:rFonts w:ascii="Times New Roman" w:eastAsia="Times New Roman" w:hAnsi="Times New Roman" w:cs="Times New Roman"/>
          <w:bCs/>
          <w:sz w:val="28"/>
          <w:szCs w:val="28"/>
          <w:lang w:eastAsia="ru-RU"/>
        </w:rPr>
        <w:t xml:space="preserve">Нормативную правовую основу в сфере градостроительной деятельности и земельно-имущественных отношений на территории Труновского муниципального округа формируют напрямую </w:t>
      </w:r>
      <w:r w:rsidR="00524A7A">
        <w:rPr>
          <w:rFonts w:ascii="Times New Roman" w:eastAsia="Times New Roman" w:hAnsi="Times New Roman" w:cs="Times New Roman"/>
          <w:bCs/>
          <w:sz w:val="28"/>
          <w:szCs w:val="28"/>
          <w:lang w:eastAsia="ru-RU"/>
        </w:rPr>
        <w:t>четыре</w:t>
      </w:r>
      <w:r w:rsidRPr="0042058C">
        <w:rPr>
          <w:rFonts w:ascii="Times New Roman" w:eastAsia="Times New Roman" w:hAnsi="Times New Roman" w:cs="Times New Roman"/>
          <w:bCs/>
          <w:sz w:val="28"/>
          <w:szCs w:val="28"/>
          <w:lang w:eastAsia="ru-RU"/>
        </w:rPr>
        <w:t xml:space="preserve"> муниципальных программы: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развитие транспортной системы и обеспечение дорожного движения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в Труновском муниципальном округе Ставропольского края;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формирование современной городской среды в Труновском муниципальном округе Ставропольского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благоустройство территории Труновского муниципального округа Ставропольского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развитие экономического потенциала на территории Труновского муниципального округа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Муниципальная программа «Развитие транспортной системы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обеспечение дорожного движения в Труновском муниципальном округе Ставропольского края» включает </w:t>
      </w:r>
      <w:r w:rsidR="00524A7A">
        <w:rPr>
          <w:rFonts w:ascii="Times New Roman" w:eastAsia="Times New Roman" w:hAnsi="Times New Roman" w:cs="Times New Roman"/>
          <w:bCs/>
          <w:sz w:val="28"/>
          <w:szCs w:val="28"/>
          <w:lang w:eastAsia="ru-RU"/>
        </w:rPr>
        <w:t>две</w:t>
      </w:r>
      <w:r w:rsidRPr="0042058C">
        <w:rPr>
          <w:rFonts w:ascii="Times New Roman" w:eastAsia="Times New Roman" w:hAnsi="Times New Roman" w:cs="Times New Roman"/>
          <w:bCs/>
          <w:sz w:val="28"/>
          <w:szCs w:val="28"/>
          <w:lang w:eastAsia="ru-RU"/>
        </w:rPr>
        <w:t xml:space="preserve"> подпрограммы:</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обеспечение безопасности дорожного движения;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дорожное хозяйство.</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Подпрограмма </w:t>
      </w:r>
      <w:r w:rsidRPr="0042058C">
        <w:rPr>
          <w:rFonts w:ascii="Times New Roman" w:eastAsia="Times New Roman" w:hAnsi="Times New Roman" w:cs="Times New Roman"/>
          <w:b/>
          <w:bCs/>
          <w:sz w:val="28"/>
          <w:szCs w:val="28"/>
          <w:lang w:eastAsia="ru-RU"/>
        </w:rPr>
        <w:t>«</w:t>
      </w:r>
      <w:r w:rsidRPr="0042058C">
        <w:rPr>
          <w:rFonts w:ascii="Times New Roman" w:eastAsia="Times New Roman" w:hAnsi="Times New Roman" w:cs="Times New Roman"/>
          <w:bCs/>
          <w:sz w:val="28"/>
          <w:szCs w:val="28"/>
          <w:lang w:eastAsia="ru-RU"/>
        </w:rPr>
        <w:t>Обеспечение безопасности дорожного движения</w:t>
      </w:r>
      <w:r w:rsidRPr="0042058C">
        <w:rPr>
          <w:rFonts w:ascii="Times New Roman" w:eastAsia="Times New Roman" w:hAnsi="Times New Roman" w:cs="Times New Roman"/>
          <w:b/>
          <w:bCs/>
          <w:sz w:val="28"/>
          <w:szCs w:val="28"/>
          <w:lang w:eastAsia="ru-RU"/>
        </w:rPr>
        <w:t>»</w:t>
      </w:r>
      <w:r w:rsidRPr="0042058C">
        <w:rPr>
          <w:rFonts w:ascii="Times New Roman" w:eastAsia="Times New Roman" w:hAnsi="Times New Roman" w:cs="Times New Roman"/>
          <w:bCs/>
          <w:sz w:val="28"/>
          <w:szCs w:val="28"/>
          <w:lang w:eastAsia="ru-RU"/>
        </w:rPr>
        <w:t xml:space="preserve">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не содержит контекста территориального планирования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градостроительного развития.</w:t>
      </w:r>
    </w:p>
    <w:p w:rsidR="0042058C" w:rsidRPr="0042058C" w:rsidRDefault="00524A7A"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Главным недостатком п</w:t>
      </w:r>
      <w:r w:rsidR="0042058C" w:rsidRPr="0042058C">
        <w:rPr>
          <w:rFonts w:ascii="Times New Roman" w:eastAsia="Times New Roman" w:hAnsi="Times New Roman" w:cs="Times New Roman"/>
          <w:bCs/>
          <w:sz w:val="28"/>
          <w:szCs w:val="28"/>
          <w:lang w:eastAsia="ru-RU"/>
        </w:rPr>
        <w:t>одпрограммы является отсутствие приоритетов градостроительного развития с учетом особой организации территории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Подпрограмма «Дорожное хозяйство» направлена на формирование единой сети автомобильных дорог общего пользования на территории Труновского муниципального округа и обеспечение функционирования существующей сети автомобильных дорог общего пользования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на территории Труновского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Подпрограмма содержит конкретные целевые индикаторы достижения цели, напрямую связанные с процессами территориального планирования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градостроительного развития. Так, в качестве ожидаемых результатов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в подпрограмме определены следующие: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повышение роста транспортной подвижности населения Труновского муниципального района на 1% в год;</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снижение доли протяженности на территории Труновского муниципального округа автомобильных дорог общего пользования местного значения, не отвечающих нормативным требованиям, в общей протяженности на 0,2% до 2025 года.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Муниципальная программа «Благоустройство территории Труновского муниципального округа Ставропольского края» ставит главной целью – повышение уровня внешнего благоустройства и санитарного содержания территорий Труновского муниципального округа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Для достижения этой цели намечены </w:t>
      </w:r>
      <w:r w:rsidR="00524A7A">
        <w:rPr>
          <w:rFonts w:ascii="Times New Roman" w:eastAsia="Times New Roman" w:hAnsi="Times New Roman" w:cs="Times New Roman"/>
          <w:bCs/>
          <w:sz w:val="28"/>
          <w:szCs w:val="28"/>
          <w:lang w:eastAsia="ru-RU"/>
        </w:rPr>
        <w:t>три</w:t>
      </w:r>
      <w:r w:rsidRPr="0042058C">
        <w:rPr>
          <w:rFonts w:ascii="Times New Roman" w:eastAsia="Times New Roman" w:hAnsi="Times New Roman" w:cs="Times New Roman"/>
          <w:bCs/>
          <w:sz w:val="28"/>
          <w:szCs w:val="28"/>
          <w:lang w:eastAsia="ru-RU"/>
        </w:rPr>
        <w:t xml:space="preserve"> задачи: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обеспечение освещенности улиц, внедрение современных экологически безопасных осветительных приборов;</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проведение работ по санитарной очистке и благоустройству кладбищ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с соблюдением санитарно-эпидемиологических и экологических норм;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содержание территорий общего пользования, озеленение.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Программа рассчитана на реализацию в 2021 – 2026 гг.</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Достоинством программы является включение в ее состав </w:t>
      </w:r>
      <w:r w:rsidR="00524A7A">
        <w:rPr>
          <w:rFonts w:ascii="Times New Roman" w:eastAsia="Times New Roman" w:hAnsi="Times New Roman" w:cs="Times New Roman"/>
          <w:bCs/>
          <w:sz w:val="28"/>
          <w:szCs w:val="28"/>
          <w:lang w:eastAsia="ru-RU"/>
        </w:rPr>
        <w:t>дву</w:t>
      </w:r>
      <w:r w:rsidRPr="0042058C">
        <w:rPr>
          <w:rFonts w:ascii="Times New Roman" w:eastAsia="Times New Roman" w:hAnsi="Times New Roman" w:cs="Times New Roman"/>
          <w:bCs/>
          <w:sz w:val="28"/>
          <w:szCs w:val="28"/>
          <w:lang w:eastAsia="ru-RU"/>
        </w:rPr>
        <w:t>х ожидаемых результатов ее реализации: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создание комфортных условий проживания граждан;</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улучшение внешнего облика Труновского муниципального округа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Главный недостаток программы – отсутствие системы формирования благоустройства в контексте общеокружной айдентики и символов градостроительного развития, исключительно количественные параметры ограниченного средового развития, недоучет специфики «сельского компонента» развития среды и индивидуальных особенностей населенных пунктов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Целью муниципальной программы «Формирование современной городской среды в Труновском муниципальном округе Ставропольского края» является повышение качества и комфорта городской среды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lastRenderedPageBreak/>
        <w:t>на территории Труновского муниципального округа края, уровня благоустройства общественных и дворовых территорий.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Данная программа, в отличие от остальных программ имеет более конкретный и содержательный характер, в том числе в контексте реализации программных мероприятий, направленных на достижение поставленной цели. В качестве таких мероприятий определено </w:t>
      </w:r>
      <w:r w:rsidR="00524A7A">
        <w:rPr>
          <w:rFonts w:ascii="Times New Roman" w:eastAsia="Times New Roman" w:hAnsi="Times New Roman" w:cs="Times New Roman"/>
          <w:bCs/>
          <w:sz w:val="28"/>
          <w:szCs w:val="28"/>
          <w:lang w:eastAsia="ru-RU"/>
        </w:rPr>
        <w:t>пять</w:t>
      </w:r>
      <w:r w:rsidRPr="0042058C">
        <w:rPr>
          <w:rFonts w:ascii="Times New Roman" w:eastAsia="Times New Roman" w:hAnsi="Times New Roman" w:cs="Times New Roman"/>
          <w:bCs/>
          <w:sz w:val="28"/>
          <w:szCs w:val="28"/>
          <w:lang w:eastAsia="ru-RU"/>
        </w:rPr>
        <w:t xml:space="preserve"> организационных блоков:</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мероприятия по благоустройству общественных территорий;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мероприятия по благоустройству дворовых территорий;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индивидуальных предпринимателей;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мероприятия по вовлечению граждан, в реализацию мероприятий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по благоустройству общественных территорий, а также дворовых территорий.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bCs/>
          <w:sz w:val="28"/>
          <w:szCs w:val="28"/>
          <w:lang w:eastAsia="ru-RU"/>
        </w:rPr>
        <w:t xml:space="preserve">Муниципальная программа «Развитие экономического потенциала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на территории Труновского муниципального округа Ставропольского края» содержит, главным образом, инвестиционный контент, опосредованно связанный с территориальным планированием и градостроительным развитием.</w:t>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bookmarkStart w:id="40" w:name="_Toc85173261"/>
      <w:r w:rsidRPr="0042058C">
        <w:rPr>
          <w:rFonts w:ascii="Times New Roman" w:eastAsia="Times New Roman" w:hAnsi="Times New Roman" w:cs="Times New Roman"/>
          <w:b/>
          <w:bCs/>
          <w:sz w:val="28"/>
          <w:szCs w:val="28"/>
          <w:lang w:eastAsia="ru-RU"/>
        </w:rPr>
        <w:t xml:space="preserve">Статья </w:t>
      </w:r>
      <w:r w:rsidR="00C952A3">
        <w:rPr>
          <w:rFonts w:ascii="Times New Roman" w:eastAsia="Times New Roman" w:hAnsi="Times New Roman" w:cs="Times New Roman"/>
          <w:b/>
          <w:bCs/>
          <w:sz w:val="28"/>
          <w:szCs w:val="28"/>
          <w:lang w:eastAsia="ru-RU"/>
        </w:rPr>
        <w:t>5</w:t>
      </w:r>
      <w:r w:rsidRPr="0042058C">
        <w:rPr>
          <w:rFonts w:ascii="Times New Roman" w:eastAsia="Times New Roman" w:hAnsi="Times New Roman" w:cs="Times New Roman"/>
          <w:b/>
          <w:bCs/>
          <w:sz w:val="28"/>
          <w:szCs w:val="28"/>
          <w:lang w:eastAsia="ru-RU"/>
        </w:rPr>
        <w:t xml:space="preserve">. Комплексный анализ современного состояния </w:t>
      </w:r>
      <w:r w:rsidR="00524A7A">
        <w:rPr>
          <w:rFonts w:ascii="Times New Roman" w:eastAsia="Times New Roman" w:hAnsi="Times New Roman" w:cs="Times New Roman"/>
          <w:b/>
          <w:bCs/>
          <w:sz w:val="28"/>
          <w:szCs w:val="28"/>
          <w:lang w:eastAsia="ru-RU"/>
        </w:rPr>
        <w:t xml:space="preserve">                        </w:t>
      </w:r>
      <w:r w:rsidRPr="0042058C">
        <w:rPr>
          <w:rFonts w:ascii="Times New Roman" w:eastAsia="Times New Roman" w:hAnsi="Times New Roman" w:cs="Times New Roman"/>
          <w:b/>
          <w:bCs/>
          <w:sz w:val="28"/>
          <w:szCs w:val="28"/>
          <w:lang w:eastAsia="ru-RU"/>
        </w:rPr>
        <w:t>и использования территории Труновского муниципального округа</w:t>
      </w:r>
      <w:bookmarkStart w:id="41" w:name="_Toc85173262"/>
      <w:bookmarkEnd w:id="40"/>
      <w:r w:rsidRPr="0042058C">
        <w:rPr>
          <w:rFonts w:ascii="Times New Roman" w:eastAsia="Times New Roman" w:hAnsi="Times New Roman" w:cs="Times New Roman"/>
          <w:b/>
          <w:bCs/>
          <w:sz w:val="28"/>
          <w:szCs w:val="28"/>
          <w:lang w:eastAsia="ru-RU"/>
        </w:rPr>
        <w:t xml:space="preserve">.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1. </w:t>
      </w:r>
      <w:bookmarkEnd w:id="41"/>
      <w:r w:rsidRPr="0042058C">
        <w:rPr>
          <w:rFonts w:ascii="Times New Roman" w:eastAsia="Times New Roman" w:hAnsi="Times New Roman" w:cs="Times New Roman"/>
          <w:bCs/>
          <w:sz w:val="28"/>
          <w:szCs w:val="28"/>
          <w:lang w:eastAsia="ru-RU"/>
        </w:rPr>
        <w:t xml:space="preserve">Труновский муниципальный округ расположен в северо-западной части Ставропольского края.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Площадь территории – 1686 тыс. км2, численность населения – 29846 человек (на 01.01.2021 г.). Плотность населения 17,7 чел./км2(в среднем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по краю – 42,3 чел./км2). Административный центр округа – с. Донское располагается в 44 км севернее г. Ставрополя.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Муниципальный округ граничит на севере с Красногвардейским муниципальным округом и Ипатовским городским округом, на востоке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с Петровским городским округом (самый короткий участок внутренней границы) и Грачевским муниципальным округом, на юге со Шпаковским муниципальным округом, на западе с Изобильненским городским округом. Территория района —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lastRenderedPageBreak/>
        <w:t>Административный центр – село Донское с числом жителей 14927 чел концентрирует более 50% от общей численности населения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Законом Ставропольского края от 31.01.2020 № 14-кз</w:t>
      </w:r>
      <w:r w:rsidRPr="0042058C">
        <w:rPr>
          <w:rFonts w:ascii="Times New Roman" w:eastAsia="Times New Roman" w:hAnsi="Times New Roman" w:cs="Times New Roman"/>
          <w:bCs/>
          <w:sz w:val="28"/>
          <w:szCs w:val="28"/>
          <w:vertAlign w:val="superscript"/>
          <w:lang w:eastAsia="ru-RU"/>
        </w:rPr>
        <w:footnoteReference w:id="5"/>
      </w:r>
      <w:r w:rsidRPr="0042058C">
        <w:rPr>
          <w:rFonts w:ascii="Times New Roman" w:eastAsia="Times New Roman" w:hAnsi="Times New Roman" w:cs="Times New Roman"/>
          <w:bCs/>
          <w:sz w:val="28"/>
          <w:szCs w:val="28"/>
          <w:lang w:eastAsia="ru-RU"/>
        </w:rPr>
        <w:t xml:space="preserve"> сельские поселения: Безопасненский сельсовет, Донской сельсовет, Кировский сельсовет, село Новая Кугульта, село Подлесное, Труновский сельсовет, входящие в состав Труновского муниципального района Ставропольского края, путем их объединения без изменения границ были преобразованы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в Труновский муниципальный округ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На территории Труновского МО расположено 15 сельских населенных пунктов. Муниципальный округ можно охарактеризовать как компактную территорию, имеющую устойчивую транспортную связь не только со своими населенными пунктами, но и с другими муниципальными образованиями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Труновский муниципальный округ образован в 2020 году путем преобразования и объединения муниципальных образований и населенных пунктов Труновского района. Это объединение – результат муниципальной реформы, которая осуществляется на территории Ставропольского края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с 2017 года.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Труновский муниципальный округ обладает рядом специфических особенностей, которые в том числе определяют содержание материалов по обоснованию проекта генерального плана.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Во-первых, Труновский муниципальный округ – это самый маленький и компактный из «сельских» муниципальных округов Ставропольского края. Среди городских и муниципальных округов Ставропольского края, преобразованных из муниципальных районов, округ занимает 23-е место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из 26. При относительно небольшой территории для округа характерна относительно низкая плотность населенных пунктов – 0,89 на 100 </w:t>
      </w:r>
      <w:r w:rsidR="00524A7A">
        <w:rPr>
          <w:rFonts w:ascii="Times New Roman" w:eastAsia="Times New Roman" w:hAnsi="Times New Roman" w:cs="Times New Roman"/>
          <w:bCs/>
          <w:sz w:val="28"/>
          <w:szCs w:val="28"/>
          <w:lang w:eastAsia="ru-RU"/>
        </w:rPr>
        <w:t xml:space="preserve">кв. </w:t>
      </w:r>
      <w:r w:rsidRPr="0042058C">
        <w:rPr>
          <w:rFonts w:ascii="Times New Roman" w:eastAsia="Times New Roman" w:hAnsi="Times New Roman" w:cs="Times New Roman"/>
          <w:bCs/>
          <w:sz w:val="28"/>
          <w:szCs w:val="28"/>
          <w:lang w:eastAsia="ru-RU"/>
        </w:rPr>
        <w:t xml:space="preserve">км, что совершенно не типично для муниципальных образований центральной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западной частей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 Во-вторых, для населения Труновского муниципального округа характерна исключительно высокая степень концентрации – в </w:t>
      </w:r>
      <w:r w:rsidR="00524A7A">
        <w:rPr>
          <w:rFonts w:ascii="Times New Roman" w:eastAsia="Times New Roman" w:hAnsi="Times New Roman" w:cs="Times New Roman"/>
          <w:bCs/>
          <w:sz w:val="28"/>
          <w:szCs w:val="28"/>
          <w:lang w:eastAsia="ru-RU"/>
        </w:rPr>
        <w:t>трех</w:t>
      </w:r>
      <w:r w:rsidRPr="0042058C">
        <w:rPr>
          <w:rFonts w:ascii="Times New Roman" w:eastAsia="Times New Roman" w:hAnsi="Times New Roman" w:cs="Times New Roman"/>
          <w:bCs/>
          <w:sz w:val="28"/>
          <w:szCs w:val="28"/>
          <w:lang w:eastAsia="ru-RU"/>
        </w:rPr>
        <w:t xml:space="preserve"> населенных пунктах (с. Донское – административный центр округа,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с. Безопасное, с</w:t>
      </w:r>
      <w:r w:rsidR="00524A7A">
        <w:rPr>
          <w:rFonts w:ascii="Times New Roman" w:eastAsia="Times New Roman" w:hAnsi="Times New Roman" w:cs="Times New Roman"/>
          <w:bCs/>
          <w:sz w:val="28"/>
          <w:szCs w:val="28"/>
          <w:lang w:eastAsia="ru-RU"/>
        </w:rPr>
        <w:t>.</w:t>
      </w:r>
      <w:r w:rsidRPr="0042058C">
        <w:rPr>
          <w:rFonts w:ascii="Times New Roman" w:eastAsia="Times New Roman" w:hAnsi="Times New Roman" w:cs="Times New Roman"/>
          <w:bCs/>
          <w:sz w:val="28"/>
          <w:szCs w:val="28"/>
          <w:lang w:eastAsia="ru-RU"/>
        </w:rPr>
        <w:t xml:space="preserve"> Труновское) сосредоточено более 90% жителей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 третьих, округ, обладая ярко выраженным транзитным положением, имеет четко выраженную линейную форму пространственной организации расселения – большинство населенных пунктов расположено вдоль главных транспортно-планировочных осей – автомобильных дорог общего пользования регионального значения 07Р-041 «Ростов-на-Дону – Ставрополь» и 07К-037 «Изобильный – Труновское – Кугульта». Эти дороги делят территорию Труновского муниципального округа на сектора неравной площади, отличающиеся особенностями и интенсивностью социально-</w:t>
      </w:r>
      <w:r w:rsidRPr="0042058C">
        <w:rPr>
          <w:rFonts w:ascii="Times New Roman" w:eastAsia="Times New Roman" w:hAnsi="Times New Roman" w:cs="Times New Roman"/>
          <w:bCs/>
          <w:sz w:val="28"/>
          <w:szCs w:val="28"/>
          <w:lang w:eastAsia="ru-RU"/>
        </w:rPr>
        <w:lastRenderedPageBreak/>
        <w:t>экономической деятельности, а, следовательно, и градостроительного развития и освоения.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В-четвертых, Труновский округ входит в состав Ставропольской агломерации – одного из главных центров концентрации населения Ставропольского края, и развивается под интенсивным влиянием центров агломерации – в первую очередь Ставрополя. Однако известную степень влияния на развитие территории оказывают также города Михайловск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Изобильный.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Таким образом, территория округа формируется и развивается под внешним влиянием «сильных» соседей, что в определенной степени имеет негативный социально-экономический и градостроительный эффекты (отток населения, «отходничество», низкий уровень инвестиционной привлекательности и т.п.).</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Обозначенные выше особенности округа, не позволяют однотипно рассматривать сельские населенные пункты в составе округа и требуют дифференцированного подхода практически к каждому селу (или их типам), поиску взвешенных градостроительных решений, укреплению местной идентичности и связи населения и территории.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Фактическое положение округа «стыковое» и транзитное, также имеет важное значение для его градостроительного развития.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Важную роль в развитии округа (в том числе и градостроительного) играет его природное положение – он располагается в бассейне рек Егорлыка и Калауса, что определяет природно-планировочный каркас его территории. При этом в Труновском муниципальном округе природные оси планировки не менее важны транспортных планировочных осей. Кроме прочего округ отличают исключительно плодородные почвы – что определяет направления развития сельского хозяйства.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У округа и его населенных пунктов определенно есть и другие примечательные особенности. Однако, обозначенные выше, – главные, задающие векторы градостроительного развития и проектных предложений генерального плана Труновского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Экономико-географическое положение (ЭГП) характеризуется как положительными, так и отрицательными особенностями.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Положительные черты ЭГП. Муниципальный округ расположен </w:t>
      </w:r>
      <w:r w:rsidR="00524A7A">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в западной части Ставропольского края с благоприятными природно-климатическими условиями и ресурсами, в непосредственной близости от крупных экономических центров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42058C" w:rsidRPr="0042058C" w:rsidRDefault="0042058C" w:rsidP="0042058C">
      <w:pPr>
        <w:widowControl w:val="0"/>
        <w:spacing w:after="0"/>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0E206A2F" wp14:editId="0C964294">
            <wp:extent cx="5932805" cy="5645785"/>
            <wp:effectExtent l="0" t="0" r="0" b="0"/>
            <wp:docPr id="35" name="Рисунок 35" descr="Описание: C:\Работа\Проекты_Картфонд\Проекты_Картфонд\Ставропольский край\Труновский\МНГП+Концепция\Карты_Концепция\1.1 НА КАРТЕ ЭГП СКФ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Работа\Проекты_Картфонд\Проекты_Картфонд\Ставропольский край\Труновский\МНГП+Концепция\Карты_Концепция\1.1 НА КАРТЕ ЭГП СКФО.jpg"/>
                    <pic:cNvPicPr>
                      <a:picLocks noChangeAspect="1" noChangeArrowheads="1"/>
                    </pic:cNvPicPr>
                  </pic:nvPicPr>
                  <pic:blipFill>
                    <a:blip r:embed="rId7">
                      <a:extLst>
                        <a:ext uri="{28A0092B-C50C-407E-A947-70E740481C1C}">
                          <a14:useLocalDpi xmlns:a14="http://schemas.microsoft.com/office/drawing/2010/main" val="0"/>
                        </a:ext>
                      </a:extLst>
                    </a:blip>
                    <a:srcRect b="6467"/>
                    <a:stretch>
                      <a:fillRect/>
                    </a:stretch>
                  </pic:blipFill>
                  <pic:spPr bwMode="auto">
                    <a:xfrm>
                      <a:off x="0" y="0"/>
                      <a:ext cx="5932805" cy="5645785"/>
                    </a:xfrm>
                    <a:prstGeom prst="rect">
                      <a:avLst/>
                    </a:prstGeom>
                    <a:noFill/>
                    <a:ln>
                      <a:noFill/>
                    </a:ln>
                  </pic:spPr>
                </pic:pic>
              </a:graphicData>
            </a:graphic>
          </wp:inline>
        </w:drawing>
      </w:r>
    </w:p>
    <w:p w:rsidR="0042058C" w:rsidRPr="0042058C" w:rsidRDefault="0042058C" w:rsidP="009D6A07">
      <w:pPr>
        <w:keepNext/>
        <w:spacing w:after="0" w:line="240" w:lineRule="auto"/>
        <w:jc w:val="right"/>
        <w:rPr>
          <w:rFonts w:ascii="Times New Roman" w:eastAsia="Calibri" w:hAnsi="Times New Roman" w:cs="Times New Roman"/>
          <w:bCs/>
          <w:noProof/>
          <w:sz w:val="28"/>
          <w:szCs w:val="28"/>
        </w:rPr>
      </w:pPr>
      <w:r w:rsidRPr="0042058C">
        <w:rPr>
          <w:rFonts w:ascii="Arial" w:eastAsia="Calibri" w:hAnsi="Arial" w:cs="Times New Roman"/>
          <w:b/>
          <w:bCs/>
          <w:szCs w:val="28"/>
        </w:rPr>
        <w:t xml:space="preserve">                                                                                                                                 </w:t>
      </w:r>
      <w:r w:rsidRPr="0042058C">
        <w:rPr>
          <w:rFonts w:ascii="Times New Roman" w:eastAsia="Calibri" w:hAnsi="Times New Roman" w:cs="Times New Roman"/>
          <w:b/>
          <w:bCs/>
          <w:sz w:val="28"/>
          <w:szCs w:val="28"/>
        </w:rPr>
        <w:t xml:space="preserve">   </w:t>
      </w:r>
      <w:r w:rsidRPr="0042058C">
        <w:rPr>
          <w:rFonts w:ascii="Times New Roman" w:eastAsia="Calibri" w:hAnsi="Times New Roman" w:cs="Times New Roman"/>
          <w:bCs/>
          <w:sz w:val="28"/>
          <w:szCs w:val="28"/>
        </w:rPr>
        <w:t xml:space="preserve">Рисунок </w:t>
      </w:r>
      <w:r w:rsidRPr="0042058C">
        <w:rPr>
          <w:rFonts w:ascii="Times New Roman" w:eastAsia="Calibri" w:hAnsi="Times New Roman" w:cs="Times New Roman"/>
          <w:bCs/>
          <w:sz w:val="28"/>
          <w:szCs w:val="28"/>
        </w:rPr>
        <w:fldChar w:fldCharType="begin"/>
      </w:r>
      <w:r w:rsidRPr="0042058C">
        <w:rPr>
          <w:rFonts w:ascii="Times New Roman" w:eastAsia="Calibri" w:hAnsi="Times New Roman" w:cs="Times New Roman"/>
          <w:bCs/>
          <w:sz w:val="28"/>
          <w:szCs w:val="28"/>
        </w:rPr>
        <w:instrText xml:space="preserve"> SEQ Рисунок \* ARABIC </w:instrText>
      </w:r>
      <w:r w:rsidRPr="0042058C">
        <w:rPr>
          <w:rFonts w:ascii="Times New Roman" w:eastAsia="Calibri" w:hAnsi="Times New Roman" w:cs="Times New Roman"/>
          <w:bCs/>
          <w:sz w:val="28"/>
          <w:szCs w:val="28"/>
        </w:rPr>
        <w:fldChar w:fldCharType="separate"/>
      </w:r>
      <w:r w:rsidR="00AC7BDA">
        <w:rPr>
          <w:rFonts w:ascii="Times New Roman" w:eastAsia="Calibri" w:hAnsi="Times New Roman" w:cs="Times New Roman"/>
          <w:bCs/>
          <w:noProof/>
          <w:sz w:val="28"/>
          <w:szCs w:val="28"/>
        </w:rPr>
        <w:t>1</w:t>
      </w:r>
      <w:r w:rsidRPr="0042058C">
        <w:rPr>
          <w:rFonts w:ascii="Times New Roman" w:eastAsia="Calibri" w:hAnsi="Times New Roman" w:cs="Times New Roman"/>
          <w:bCs/>
          <w:noProof/>
          <w:sz w:val="28"/>
          <w:szCs w:val="28"/>
        </w:rPr>
        <w:fldChar w:fldCharType="end"/>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Географическое положение Труновского муниципального округа в Северо-Кавказском федеральном округе и Южном макрорегионе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Благоприятное положение Труновского муниципального округа относительно краевого центра – г. Ставрополя – способствует интенсивному развитию бизнеса, экономической активности, социальной инфраструктуры и, в целом, всей территории.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Такое положение дает Труновскому муниципальному округу потенциалы инвестиционной привлекательности, способствует развитию тесных, в том числе трудовых, связей.</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Муниципальный округ обладает выгодным транспортно-географическим положением. Через территорию округа транзитом проходит автомобильная дорога общего пользования регионального значения автомобильных дорог общего пользования регионального значения 07Р-041 «Ростов-на-Дону – Ставрополь». Кроме этого округ располагается между </w:t>
      </w:r>
      <w:r w:rsidR="00524A7A" w:rsidRPr="0042058C">
        <w:rPr>
          <w:rFonts w:ascii="Times New Roman" w:eastAsia="Times New Roman" w:hAnsi="Times New Roman" w:cs="Times New Roman"/>
          <w:sz w:val="28"/>
          <w:szCs w:val="28"/>
          <w:lang w:eastAsia="ru-RU"/>
        </w:rPr>
        <w:t>главными</w:t>
      </w:r>
      <w:r w:rsidRPr="0042058C">
        <w:rPr>
          <w:rFonts w:ascii="Times New Roman" w:eastAsia="Times New Roman" w:hAnsi="Times New Roman" w:cs="Times New Roman"/>
          <w:sz w:val="28"/>
          <w:szCs w:val="28"/>
          <w:lang w:eastAsia="ru-RU"/>
        </w:rPr>
        <w:t xml:space="preserve"> транспортными коридорами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7B84CF66" wp14:editId="31157FA1">
            <wp:extent cx="5937885" cy="501713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5017135"/>
                    </a:xfrm>
                    <a:prstGeom prst="rect">
                      <a:avLst/>
                    </a:prstGeom>
                    <a:noFill/>
                  </pic:spPr>
                </pic:pic>
              </a:graphicData>
            </a:graphic>
          </wp:inline>
        </w:drawing>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9D6A07">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Рисунок 2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Транспортно-географическое положение Труновского муниципального округа в пределах транспортно-логистической системы Ставропольского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Наличие важнейших транспортных магистралей обеспечивает взаимодействие между производителями промышленной </w:t>
      </w:r>
      <w:r w:rsidR="00524A7A">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сельскохозяйственной продукции края с крупными потребителями, что позволяет сформировать экономически эффективную цепочку логистики продукции, в том числе – за пределами региона.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Следует отметить транзитность транспортно-географического положения на автомобильной трассе, связывающей региональную «столицу» края Ставрополь с крупнейшим городом Юга России с миллионным населением – Ростов-на-Дону.</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К числу отрицательных черт ЭГП можно отнести: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центрально-периферийное положение муниципального округа, ограничивающее и затрудняющее взаимодействие с южными и восточными территориями края;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расположение в непосредственной близости крупнейшего экономического центра края – города Ставрополя – ограничивает возможности использования ресурсов, в том числе трудовых;</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поляризация территории округа – выделение точек роста – села Донского, села Безопасного и села Труновского и периферийных сельских территорий с относительно низким уровнем социально-экономического развития и градостроительного освоения.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Особенности ЭГП Труновского муниципального округа предопределяют основные функции по обслуживанию хозяйства и населения города Ставрополя, через развитие сельскохозяйственного производства, производство строительных материалов, функции логистики и рекреации.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ЭГП определяет и проблемы развития территории, связанные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дефицитом земельных ресурсов, большими потоками маятниковых мигрантов, обеспеченностью сферой услуг, ориентированной </w:t>
      </w:r>
      <w:r w:rsidR="000E550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г. Ставрополь.</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целом, ЭГП Труновского МО отличается преобладанием положительных черт, среди которых выделяются выгоды транспортно-географического положения. Положение Труновского муниципального округа, связанное с экономикой и территорией города Ставрополя, является одновременно конкурентным преимуществом, и планировочным ограничением развития территории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2. Устойчивая система расселения Труновского муниципального округа формируется по доминирующим признакам функционального освоения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пространственной организации территории с целью реализации перспективных пространственных преобразований.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сочетании с укрупненным функциональным зонированием территории Ставропольского края, перспективная планировочная организация территории Труновского муниципального округа, основанная на функционально-пространственном зонировании территории и его устойчивой системе расселения, позволяет определить главные направления структурной реорганизации территории, преобладающее функциональное назначение, преобладающие типы застройки и средовые характеристики,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а так же, в соответствии с ними, основные макропараметры регулирования градостроительной деятельности на уровне муниципального округа. Место Труновской устойчивой системы расселения в системе расселения Ставропольского края представлено в таблице.</w:t>
      </w:r>
    </w:p>
    <w:p w:rsidR="0042058C" w:rsidRPr="0042058C" w:rsidRDefault="0042058C" w:rsidP="000E5508">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Таблица </w:t>
      </w:r>
      <w:r w:rsidR="0009125E">
        <w:rPr>
          <w:rFonts w:ascii="Times New Roman" w:eastAsia="Times New Roman" w:hAnsi="Times New Roman" w:cs="Times New Roman"/>
          <w:sz w:val="28"/>
          <w:szCs w:val="28"/>
          <w:lang w:eastAsia="ru-RU"/>
        </w:rPr>
        <w:t>17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Место Труновской устойчивой системы расселения в общей системе расселения Ставропольского края и соседних муниципальных образований</w:t>
      </w:r>
      <w:r w:rsidRPr="0042058C">
        <w:rPr>
          <w:rFonts w:ascii="Times New Roman" w:eastAsia="Times New Roman" w:hAnsi="Times New Roman" w:cs="Times New Roman"/>
          <w:sz w:val="28"/>
          <w:szCs w:val="28"/>
          <w:vertAlign w:val="superscript"/>
          <w:lang w:eastAsia="ru-RU"/>
        </w:rPr>
        <w:footnoteReference w:id="6"/>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985"/>
        <w:gridCol w:w="2128"/>
        <w:gridCol w:w="2833"/>
      </w:tblGrid>
      <w:tr w:rsidR="0042058C" w:rsidRPr="0042058C" w:rsidTr="0042058C">
        <w:trPr>
          <w:trHeight w:val="20"/>
          <w:tblHeader/>
        </w:trPr>
        <w:tc>
          <w:tcPr>
            <w:tcW w:w="303" w:type="pct"/>
            <w:vAlign w:val="center"/>
          </w:tcPr>
          <w:p w:rsidR="0042058C" w:rsidRPr="0042058C" w:rsidRDefault="0042058C" w:rsidP="0042058C">
            <w:pPr>
              <w:autoSpaceDE w:val="0"/>
              <w:autoSpaceDN w:val="0"/>
              <w:adjustRightInd w:val="0"/>
              <w:spacing w:after="0" w:line="240" w:lineRule="auto"/>
              <w:ind w:left="-709" w:firstLine="708"/>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 xml:space="preserve">№ </w:t>
            </w:r>
          </w:p>
          <w:p w:rsidR="0042058C" w:rsidRPr="0042058C" w:rsidRDefault="0042058C" w:rsidP="0042058C">
            <w:pPr>
              <w:autoSpaceDE w:val="0"/>
              <w:autoSpaceDN w:val="0"/>
              <w:adjustRightInd w:val="0"/>
              <w:spacing w:after="0" w:line="240" w:lineRule="auto"/>
              <w:ind w:left="-709" w:firstLine="708"/>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п/п</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Устойчивые системы расселения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Макрозона расселения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Доминирующие признаки функционального освоения и пространственной организации</w:t>
            </w:r>
          </w:p>
        </w:tc>
        <w:tc>
          <w:tcPr>
            <w:tcW w:w="1514"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«Опорные» города и иные населенные пункты</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1</w:t>
            </w:r>
          </w:p>
        </w:tc>
        <w:tc>
          <w:tcPr>
            <w:tcW w:w="985" w:type="pct"/>
            <w:tcMar>
              <w:left w:w="57" w:type="dxa"/>
              <w:right w:w="57" w:type="dxa"/>
            </w:tcMar>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Ставропольская агломерированная*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Ставропольская агломерация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Городская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г. Ставрополь,                                     г. Невинномысск,                               г. Михайловск</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2</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 xml:space="preserve">Изобильненская </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Ставропольская агломерация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Аграрно-городская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г. Изобильный,                                   п. Рыздвяный,                           п. Солнечнодольск, с. Московское, с. Птичье,                        с. Тищенское</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3</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Грачевско-Кугультинская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Ставропольская агломерация, Западная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 Грачевка,  с. Кугульта,                     с. Старомарьевка, с. Спицевка,                    с. Бешпагир</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4</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Петровская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Ставропольская агломерация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Аграрно-городская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 xml:space="preserve">г. Светлоград, с. Благодатное,                 с. Гофицкое, </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 Константиновское,</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 xml:space="preserve"> с.Сухая Буйвола</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5</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Красногвардейская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Западная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  Красногвардейское,                    с. Ладовская Балка,                              с. Привольное,                                  с. Дмитриевское, с. Преградное</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6</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Труновская (Донская)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Западная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 Донское, с. Безопасное,                       с. Труновское</w:t>
            </w:r>
          </w:p>
        </w:tc>
      </w:tr>
      <w:tr w:rsidR="0042058C" w:rsidRPr="0042058C" w:rsidTr="0042058C">
        <w:trPr>
          <w:trHeight w:val="20"/>
        </w:trPr>
        <w:tc>
          <w:tcPr>
            <w:tcW w:w="303"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7</w:t>
            </w:r>
          </w:p>
        </w:tc>
        <w:tc>
          <w:tcPr>
            <w:tcW w:w="985"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Ипатовская</w:t>
            </w:r>
          </w:p>
        </w:tc>
        <w:tc>
          <w:tcPr>
            <w:tcW w:w="1061"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Северная</w:t>
            </w:r>
          </w:p>
        </w:tc>
        <w:tc>
          <w:tcPr>
            <w:tcW w:w="1137" w:type="pct"/>
            <w:vAlign w:val="center"/>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Аграрно-городская</w:t>
            </w:r>
          </w:p>
        </w:tc>
        <w:tc>
          <w:tcPr>
            <w:tcW w:w="1514" w:type="pct"/>
            <w:tcMar>
              <w:left w:w="57" w:type="dxa"/>
              <w:right w:w="57" w:type="dxa"/>
            </w:tcMa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iCs/>
                <w:sz w:val="20"/>
                <w:szCs w:val="20"/>
                <w:lang w:eastAsia="ru-RU"/>
              </w:rPr>
            </w:pPr>
            <w:r w:rsidRPr="0042058C">
              <w:rPr>
                <w:rFonts w:ascii="Times New Roman" w:eastAsia="Times New Roman" w:hAnsi="Times New Roman" w:cs="Times New Roman"/>
                <w:iCs/>
                <w:sz w:val="20"/>
                <w:szCs w:val="20"/>
                <w:lang w:eastAsia="ru-RU"/>
              </w:rPr>
              <w:t>г. Ипатово, с. Большая Джалга, с. Кевсала,  с. Октябрьское,               п. Советское Руно, с. Тахта,                          п. Винодельненский</w:t>
            </w:r>
          </w:p>
        </w:tc>
      </w:tr>
    </w:tbl>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Критериями выделения устойчивой системы расселения Труновского муниципального округа, равно как и других региональных устойчивых системы Ставропольского края выступают:</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доминирующие признаки функционального освоения территории – преобладание определенного вида хозяйственной деятельности (промышленности, транспорта, сельского хозяйства);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особенности территориальной организации;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особенности административно-территориального устройства – административные функции опорных центров;</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численность населения – для сельских населенных пунктов – более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3 тыс. человек;</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транспортно-географическое положение – положение на осях планировочной организации территории (федерального, регионального, местного значения);</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функции межселенного обслуживания территории;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Как видно система расселения Труновского муниципального округа входит в состав Ставропольской агломерации и представляет собой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lastRenderedPageBreak/>
        <w:t>ее важнейший элемент в комплексных взаимосвязях с центром агломерации             1-го порядка – городом Ставрополем (рисунок</w:t>
      </w:r>
      <w:r w:rsidR="009D6A07">
        <w:rPr>
          <w:rFonts w:ascii="Times New Roman" w:eastAsia="Times New Roman" w:hAnsi="Times New Roman" w:cs="Times New Roman"/>
          <w:sz w:val="28"/>
          <w:szCs w:val="28"/>
          <w:lang w:eastAsia="ru-RU"/>
        </w:rPr>
        <w:t xml:space="preserve"> 3</w:t>
      </w:r>
      <w:r w:rsidRPr="0042058C">
        <w:rPr>
          <w:rFonts w:ascii="Times New Roman" w:eastAsia="Times New Roman" w:hAnsi="Times New Roman" w:cs="Times New Roman"/>
          <w:sz w:val="28"/>
          <w:szCs w:val="28"/>
          <w:lang w:eastAsia="ru-RU"/>
        </w:rPr>
        <w:t>).</w:t>
      </w:r>
    </w:p>
    <w:p w:rsidR="0042058C" w:rsidRPr="0042058C" w:rsidRDefault="0042058C" w:rsidP="00C952A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0CE1BD5" wp14:editId="1E0E73C7">
            <wp:extent cx="5435600" cy="64287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6428740"/>
                    </a:xfrm>
                    <a:prstGeom prst="rect">
                      <a:avLst/>
                    </a:prstGeom>
                    <a:noFill/>
                  </pic:spPr>
                </pic:pic>
              </a:graphicData>
            </a:graphic>
          </wp:inline>
        </w:drawing>
      </w:r>
    </w:p>
    <w:p w:rsidR="00C952A3" w:rsidRDefault="00C952A3" w:rsidP="00C952A3">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p>
    <w:p w:rsidR="00C952A3" w:rsidRPr="0042058C" w:rsidRDefault="00C952A3" w:rsidP="00C952A3">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Рисунок 3 </w:t>
      </w:r>
    </w:p>
    <w:p w:rsidR="00C952A3" w:rsidRPr="0042058C" w:rsidRDefault="00C952A3" w:rsidP="00C952A3">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Положение Труновского муниципального округа в пределах Ставропольской агломерации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В структуре Ставропольской агломерации территория Труновского округа относится ко 2-й внешней зоне – Периферия (зона незначительного влияния ядра)</w:t>
      </w:r>
      <w:r w:rsidRPr="0042058C">
        <w:rPr>
          <w:rFonts w:ascii="Times New Roman" w:eastAsia="Times New Roman" w:hAnsi="Times New Roman" w:cs="Times New Roman"/>
          <w:sz w:val="28"/>
          <w:szCs w:val="28"/>
          <w:vertAlign w:val="superscript"/>
          <w:lang w:eastAsia="ru-RU"/>
        </w:rPr>
        <w:footnoteReference w:id="7"/>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пределах этой зоны отмечаются горизонтальные связи внутри периферии с окружением Ставропольской агломерации. Эти связи осуществляются между Изобильненским городским округом, непосредственно Труновским муниципальным округом и территориями, расположенными за пределами агломерации – ближайшими соседями Петровским, Ипатовским городскими округами и др.</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Важное значение с точки зрения горизонтальных агломерационных связей имеет переработка сельскохозяйственного сырья на предприятиях города Ставрополя, Изобильного, Михайловска.</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Характеристики и значение Труновского муниципального округа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системе расселения Ставропольской агломерации представлены в таблице.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2058C" w:rsidRPr="0042058C" w:rsidRDefault="0042058C" w:rsidP="009D6A07">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Таблица </w:t>
      </w:r>
      <w:r w:rsidR="0009125E">
        <w:rPr>
          <w:rFonts w:ascii="Times New Roman" w:eastAsia="Times New Roman" w:hAnsi="Times New Roman" w:cs="Times New Roman"/>
          <w:sz w:val="28"/>
          <w:szCs w:val="28"/>
          <w:lang w:eastAsia="ru-RU"/>
        </w:rPr>
        <w:t>18</w:t>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Место и количественные параметры Труновского муниципального округа в структуре Ставропольской агломерации</w:t>
      </w:r>
      <w:r w:rsidRPr="0042058C">
        <w:rPr>
          <w:rFonts w:ascii="Times New Roman" w:eastAsia="Times New Roman" w:hAnsi="Times New Roman" w:cs="Times New Roman"/>
          <w:sz w:val="28"/>
          <w:szCs w:val="28"/>
          <w:vertAlign w:val="superscript"/>
          <w:lang w:eastAsia="ru-RU"/>
        </w:rPr>
        <w:footnoteReference w:id="8"/>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2"/>
        <w:gridCol w:w="630"/>
        <w:gridCol w:w="630"/>
        <w:gridCol w:w="1206"/>
        <w:gridCol w:w="1116"/>
        <w:gridCol w:w="993"/>
        <w:gridCol w:w="779"/>
        <w:gridCol w:w="779"/>
        <w:gridCol w:w="775"/>
      </w:tblGrid>
      <w:tr w:rsidR="0042058C" w:rsidRPr="0042058C" w:rsidTr="0042058C">
        <w:trPr>
          <w:trHeight w:val="301"/>
          <w:tblHeader/>
        </w:trPr>
        <w:tc>
          <w:tcPr>
            <w:tcW w:w="1391" w:type="pct"/>
            <w:vMerge w:val="restar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Агломерация, ее структурные элементы</w:t>
            </w:r>
          </w:p>
        </w:tc>
        <w:tc>
          <w:tcPr>
            <w:tcW w:w="658" w:type="pct"/>
            <w:gridSpan w:val="2"/>
            <w:tcBorders>
              <w:bottom w:val="single" w:sz="4" w:space="0" w:color="auto"/>
            </w:tcBorders>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Число населенных пунктов</w:t>
            </w:r>
          </w:p>
        </w:tc>
        <w:tc>
          <w:tcPr>
            <w:tcW w:w="1213" w:type="pct"/>
            <w:gridSpan w:val="2"/>
            <w:tcBorders>
              <w:bottom w:val="single" w:sz="4" w:space="0" w:color="auto"/>
            </w:tcBorders>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Численность населения на 2018 г., тыс. чел., в том числе:</w:t>
            </w:r>
          </w:p>
        </w:tc>
        <w:tc>
          <w:tcPr>
            <w:tcW w:w="519" w:type="pct"/>
            <w:vMerge w:val="restart"/>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Площадь, км</w:t>
            </w:r>
            <w:r w:rsidRPr="0042058C">
              <w:rPr>
                <w:rFonts w:ascii="Times New Roman" w:eastAsia="Times New Roman" w:hAnsi="Times New Roman" w:cs="Times New Roman"/>
                <w:sz w:val="20"/>
                <w:szCs w:val="20"/>
                <w:vertAlign w:val="superscript"/>
                <w:lang w:eastAsia="ru-RU"/>
              </w:rPr>
              <w:t>2</w:t>
            </w:r>
          </w:p>
        </w:tc>
        <w:tc>
          <w:tcPr>
            <w:tcW w:w="407" w:type="pct"/>
            <w:vMerge w:val="restart"/>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Плотность населения, чел/км</w:t>
            </w:r>
            <w:r w:rsidRPr="0042058C">
              <w:rPr>
                <w:rFonts w:ascii="Times New Roman" w:eastAsia="Times New Roman" w:hAnsi="Times New Roman" w:cs="Times New Roman"/>
                <w:sz w:val="20"/>
                <w:szCs w:val="20"/>
                <w:vertAlign w:val="superscript"/>
                <w:lang w:eastAsia="ru-RU"/>
              </w:rPr>
              <w:t>2</w:t>
            </w:r>
          </w:p>
        </w:tc>
        <w:tc>
          <w:tcPr>
            <w:tcW w:w="407" w:type="pct"/>
            <w:vMerge w:val="restart"/>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Средняя численность, СНП, чел.</w:t>
            </w:r>
          </w:p>
        </w:tc>
        <w:tc>
          <w:tcPr>
            <w:tcW w:w="406" w:type="pct"/>
            <w:vMerge w:val="restart"/>
            <w:tcBorders>
              <w:right w:val="single" w:sz="4" w:space="0" w:color="auto"/>
            </w:tcBorders>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Плотность СНП, ед./1000км</w:t>
            </w:r>
            <w:r w:rsidRPr="0042058C">
              <w:rPr>
                <w:rFonts w:ascii="Times New Roman" w:eastAsia="Times New Roman" w:hAnsi="Times New Roman" w:cs="Times New Roman"/>
                <w:sz w:val="20"/>
                <w:szCs w:val="20"/>
                <w:vertAlign w:val="superscript"/>
                <w:lang w:eastAsia="ru-RU"/>
              </w:rPr>
              <w:t>2</w:t>
            </w:r>
          </w:p>
        </w:tc>
      </w:tr>
      <w:tr w:rsidR="0042058C" w:rsidRPr="0042058C" w:rsidTr="0042058C">
        <w:trPr>
          <w:cantSplit/>
          <w:trHeight w:val="2106"/>
          <w:tblHeader/>
        </w:trPr>
        <w:tc>
          <w:tcPr>
            <w:tcW w:w="1391" w:type="pct"/>
            <w:vMerge/>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329" w:type="pct"/>
            <w:tcBorders>
              <w:top w:val="single" w:sz="4" w:space="0" w:color="auto"/>
            </w:tcBorders>
            <w:textDirection w:val="btLr"/>
            <w:vAlign w:val="center"/>
          </w:tcPr>
          <w:p w:rsidR="0042058C" w:rsidRPr="0042058C" w:rsidRDefault="0042058C" w:rsidP="0042058C">
            <w:pPr>
              <w:autoSpaceDE w:val="0"/>
              <w:autoSpaceDN w:val="0"/>
              <w:adjustRightInd w:val="0"/>
              <w:spacing w:after="0" w:line="240" w:lineRule="auto"/>
              <w:ind w:left="113"/>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городских</w:t>
            </w:r>
          </w:p>
        </w:tc>
        <w:tc>
          <w:tcPr>
            <w:tcW w:w="329" w:type="pct"/>
            <w:tcBorders>
              <w:top w:val="single" w:sz="4" w:space="0" w:color="auto"/>
            </w:tcBorders>
            <w:textDirection w:val="btLr"/>
            <w:vAlign w:val="center"/>
          </w:tcPr>
          <w:p w:rsidR="0042058C" w:rsidRPr="0042058C" w:rsidRDefault="0042058C" w:rsidP="0042058C">
            <w:pPr>
              <w:autoSpaceDE w:val="0"/>
              <w:autoSpaceDN w:val="0"/>
              <w:adjustRightInd w:val="0"/>
              <w:spacing w:after="0" w:line="240" w:lineRule="auto"/>
              <w:ind w:left="113"/>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сельских</w:t>
            </w:r>
          </w:p>
        </w:tc>
        <w:tc>
          <w:tcPr>
            <w:tcW w:w="630" w:type="pct"/>
            <w:tcBorders>
              <w:top w:val="single" w:sz="4" w:space="0" w:color="auto"/>
            </w:tcBorders>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городское</w:t>
            </w:r>
          </w:p>
        </w:tc>
        <w:tc>
          <w:tcPr>
            <w:tcW w:w="583" w:type="pct"/>
            <w:tcBorders>
              <w:top w:val="single" w:sz="4" w:space="0" w:color="auto"/>
            </w:tcBorders>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сельское</w:t>
            </w:r>
          </w:p>
        </w:tc>
        <w:tc>
          <w:tcPr>
            <w:tcW w:w="519" w:type="pct"/>
            <w:vMerge/>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7" w:type="pct"/>
            <w:vMerge/>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7" w:type="pct"/>
            <w:vMerge/>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6" w:type="pct"/>
            <w:vMerge/>
            <w:tcBorders>
              <w:right w:val="single" w:sz="4" w:space="0" w:color="auto"/>
            </w:tcBorders>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r>
      <w:tr w:rsidR="0042058C" w:rsidRPr="0042058C" w:rsidTr="0042058C">
        <w:tc>
          <w:tcPr>
            <w:tcW w:w="1391" w:type="pct"/>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Центральная зона, всего</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42</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524,6</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54,7</w:t>
            </w:r>
          </w:p>
        </w:tc>
        <w:tc>
          <w:tcPr>
            <w:tcW w:w="51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2665,6</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218</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1271</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17</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в том числе: </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630"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51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Ставрополь</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433,9</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0,2</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276,7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1442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г. Михайловск</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90,7</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0,5</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25,9</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3502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Шпаковский муниципальный округ </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53,5</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2363,0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1271</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w:t>
            </w:r>
          </w:p>
        </w:tc>
      </w:tr>
      <w:tr w:rsidR="0042058C" w:rsidRPr="0042058C" w:rsidTr="0042058C">
        <w:tc>
          <w:tcPr>
            <w:tcW w:w="1391" w:type="pct"/>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1-я внешняя зона, всего</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73</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174,7</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118,4</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4360,7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2784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1-я внешняя зона (Невинномысская подзона)</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117,4</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76,4</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2443,5</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80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3614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г. Невинномысск</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117,4</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80,1</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w:t>
            </w:r>
            <w:r w:rsidRPr="0042058C">
              <w:rPr>
                <w:rFonts w:ascii="Times New Roman" w:eastAsia="Times New Roman" w:hAnsi="Times New Roman" w:cs="Times New Roman"/>
                <w:sz w:val="20"/>
                <w:szCs w:val="20"/>
                <w:lang w:eastAsia="ru-RU"/>
              </w:rPr>
              <w:lastRenderedPageBreak/>
              <w:t>476</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lastRenderedPageBreak/>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Кочубеевский муниципальный округ </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76,4</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2345,0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33</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3614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1-я внешняя зона (подзона Изобильного)</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57,3</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42,0</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1935,2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1954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12</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г. Изобильный</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38,1</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22,6</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1761</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 Солнечнодольск</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11,7</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6,0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1951</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 Рыздвяный</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7,5</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6,7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1149</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Изобильненский городской округ (сельская местность)</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42,0</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1904,9</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1954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2-я внешняя зона</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69,6</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3479</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20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2284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9</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Грачевский муниципальный округ</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37,8</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1794</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2269</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Труновский муниципальный округ</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31,8</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1685</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2300</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Периферия</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84</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63,4</w:t>
            </w:r>
          </w:p>
        </w:tc>
        <w:tc>
          <w:tcPr>
            <w:tcW w:w="583"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112,6</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6992</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26</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1341</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Новоалександровский городской округ</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40</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27,0</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38,4</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2015</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33</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1000</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Петровский городской округ</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36,4</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36,7</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2741</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1468</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Красногвардейский муниципальный округ</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37,5</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2236</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1974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Итого по агломерации </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lang w:eastAsia="ru-RU"/>
              </w:rPr>
              <w:t>(без периферии)</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146</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699,3</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242,7</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10510,3</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90</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2074</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w:t>
            </w:r>
          </w:p>
        </w:tc>
      </w:tr>
      <w:tr w:rsidR="0042058C" w:rsidRPr="0042058C" w:rsidTr="0042058C">
        <w:tc>
          <w:tcPr>
            <w:tcW w:w="1391"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Всего</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w:t>
            </w:r>
          </w:p>
        </w:tc>
        <w:tc>
          <w:tcPr>
            <w:tcW w:w="329"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230</w:t>
            </w:r>
          </w:p>
        </w:tc>
        <w:tc>
          <w:tcPr>
            <w:tcW w:w="630"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762,7</w:t>
            </w:r>
          </w:p>
        </w:tc>
        <w:tc>
          <w:tcPr>
            <w:tcW w:w="583"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355,3</w:t>
            </w:r>
          </w:p>
        </w:tc>
        <w:tc>
          <w:tcPr>
            <w:tcW w:w="519" w:type="pct"/>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17497,3</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64</w:t>
            </w:r>
          </w:p>
        </w:tc>
        <w:tc>
          <w:tcPr>
            <w:tcW w:w="407" w:type="pct"/>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1768</w:t>
            </w:r>
          </w:p>
        </w:tc>
        <w:tc>
          <w:tcPr>
            <w:tcW w:w="406" w:type="pct"/>
            <w:tcBorders>
              <w:right w:val="single" w:sz="4" w:space="0" w:color="auto"/>
            </w:tcBorders>
            <w:vAlign w:val="center"/>
          </w:tcPr>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w:t>
            </w:r>
          </w:p>
        </w:tc>
      </w:tr>
    </w:tbl>
    <w:p w:rsidR="0042058C" w:rsidRPr="0042058C" w:rsidRDefault="0042058C" w:rsidP="0042058C">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Таким образом, Труновский муниципальный округ не занимает ведущие позиции среди аналогичных округов в системе расселения Ставропольского края и Ставропольской агломерации, а относится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типичной периферийно-окраинной территории в системе агломерации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по комплексу количественных параметров.</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3. Природные условия и ресурсы</w:t>
      </w:r>
      <w:r w:rsidR="009D6A07">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1</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Геологическое строение, рельеф, инженерно-геологические условия, инженерно-строительное районирование.</w:t>
      </w:r>
      <w:r w:rsidRPr="0042058C">
        <w:rPr>
          <w:rFonts w:ascii="Times New Roman" w:eastAsia="Times New Roman" w:hAnsi="Times New Roman" w:cs="Times New Roman"/>
          <w:sz w:val="28"/>
          <w:szCs w:val="28"/>
          <w:lang w:eastAsia="ru-RU"/>
        </w:rPr>
        <w:tab/>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Геологическое строение и тектоника. Рассматриваемая территория, как и практически вся территория Ставропольского края принадлежит эпигерцинской Скифской плите, которая имеет общекавказское простирание, ширину порядка 200 км и ограничена с севера зоной Манычских </w:t>
      </w:r>
      <w:r w:rsidRPr="0042058C">
        <w:rPr>
          <w:rFonts w:ascii="Times New Roman" w:eastAsia="Times New Roman" w:hAnsi="Times New Roman" w:cs="Times New Roman"/>
          <w:sz w:val="28"/>
          <w:szCs w:val="28"/>
          <w:lang w:eastAsia="ru-RU"/>
        </w:rPr>
        <w:lastRenderedPageBreak/>
        <w:t xml:space="preserve">надразломных прогибов, а с юга – серией крупных долгоживущих разломов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связанных с ними складчатых зон горного сооружения Большого Кавказа.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пределах Скифской плиты в качестве структур более высокого порядка выделяются Азово-Кубанская и Терско-Кумская впадины, разделенные Ставропольским сводом. Ставропольский край практически полностью занимает Ставропольский свод (тектоническая структура Ставропольской возвышенности), захватывая небольшую северо-восточную часть Азово-Кубанской впадины на западе, часть зоны Манычских прогибов – на севере и почти половину площади Терско-Кумской впадины –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востоке.</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Восточное окончание Азово-Кубанской впадины – Западно-Ставропольская впадина – входит в границы Ставропольского края своей крайней восточной частью и имеет поверхность полого фундамента, наклонённую к юго-востоку, осложненную субширотным (с севера на юг). Ладовским прогибом и Расшеватским поднятием с грабеном в осевой части</w:t>
      </w:r>
      <w:r w:rsidRPr="0042058C">
        <w:rPr>
          <w:rFonts w:ascii="Times New Roman" w:eastAsia="Times New Roman" w:hAnsi="Times New Roman" w:cs="Times New Roman"/>
          <w:sz w:val="28"/>
          <w:szCs w:val="28"/>
          <w:vertAlign w:val="superscript"/>
          <w:lang w:eastAsia="ru-RU"/>
        </w:rPr>
        <w:footnoteReference w:id="9"/>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геологическом разрезе территория Труновского муниципального округа представлена палеозойским складчатым фундаментом и мезозойско-кайнозойским осадочным чехлом. Осадочный чехол залегает на складчатом фундаменте. Он сложен толщами морских, реже континентальных отложений – глин, песков, песчаников, известняков, суглинков и других.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северо-западной части Труновского муниципального округа, под Азово-Кубанской низменностью фундамент залегает на глубинах 2,5-3 км.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Согласно схеме «Сейсмического районирования Ставропольского края» сейсмичность территории составляет 7 баллов. Исследования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микросейсмическому районированию территории данного округа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не проводились, для уточнения сейсмических рисков необходимо провести специальные работы, как всего Ставропольского края, так и округа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частности.</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Опасные геологические процессы. Территория Труновского муниципального округа подвержена очень высокой (четвертой) степени суммарной деградации. При подсчете суммарной деградации она составляет 17 баллов и это сказывается на урожайности сельскохозяйственных культур. </w:t>
      </w:r>
    </w:p>
    <w:p w:rsidR="0042058C" w:rsidRPr="0042058C" w:rsidRDefault="0042058C" w:rsidP="004205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Анализ суммарных деградационных процессов показывает, что рассматриваемая территория входит в десятку худших округов по среднему показателю антропогенной деградации территории.</w:t>
      </w:r>
    </w:p>
    <w:p w:rsidR="009D6A07" w:rsidRDefault="009D6A07" w:rsidP="009D6A07">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p>
    <w:p w:rsidR="0042058C" w:rsidRPr="0042058C" w:rsidRDefault="0042058C" w:rsidP="009D6A07">
      <w:pPr>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Таблица </w:t>
      </w:r>
      <w:r w:rsidR="0009125E">
        <w:rPr>
          <w:rFonts w:ascii="Times New Roman" w:eastAsia="Times New Roman" w:hAnsi="Times New Roman" w:cs="Times New Roman"/>
          <w:sz w:val="28"/>
          <w:szCs w:val="28"/>
          <w:lang w:eastAsia="ru-RU"/>
        </w:rPr>
        <w:t>19</w:t>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Суммарные деградационные процессы на территории Труновского муниципального округа</w:t>
      </w:r>
      <w:r w:rsidRPr="0042058C">
        <w:rPr>
          <w:rFonts w:ascii="Times New Roman" w:eastAsia="Times New Roman" w:hAnsi="Times New Roman" w:cs="Times New Roman"/>
          <w:sz w:val="28"/>
          <w:szCs w:val="28"/>
          <w:vertAlign w:val="superscript"/>
          <w:lang w:eastAsia="ru-RU"/>
        </w:rPr>
        <w:footnoteReference w:id="10"/>
      </w:r>
    </w:p>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0"/>
        <w:gridCol w:w="596"/>
        <w:gridCol w:w="936"/>
        <w:gridCol w:w="935"/>
        <w:gridCol w:w="935"/>
        <w:gridCol w:w="935"/>
        <w:gridCol w:w="935"/>
        <w:gridCol w:w="935"/>
        <w:gridCol w:w="742"/>
        <w:gridCol w:w="708"/>
        <w:gridCol w:w="761"/>
      </w:tblGrid>
      <w:tr w:rsidR="0042058C" w:rsidRPr="0042058C" w:rsidTr="0042058C">
        <w:trPr>
          <w:trHeight w:val="555"/>
        </w:trPr>
        <w:tc>
          <w:tcPr>
            <w:tcW w:w="554" w:type="pct"/>
            <w:vMerge w:val="restart"/>
            <w:shd w:val="clear" w:color="auto" w:fill="auto"/>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Площадь, га</w:t>
            </w:r>
          </w:p>
        </w:tc>
        <w:tc>
          <w:tcPr>
            <w:tcW w:w="3668" w:type="pct"/>
            <w:gridSpan w:val="8"/>
            <w:shd w:val="clear" w:color="auto" w:fill="auto"/>
          </w:tcPr>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Площадь территории округа, подверженная деградационным процессам, га</w:t>
            </w:r>
          </w:p>
        </w:tc>
        <w:tc>
          <w:tcPr>
            <w:tcW w:w="374" w:type="pct"/>
            <w:vMerge w:val="restar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Всего</w:t>
            </w:r>
          </w:p>
        </w:tc>
        <w:tc>
          <w:tcPr>
            <w:tcW w:w="403" w:type="pct"/>
            <w:vMerge w:val="restar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Балл деградации</w:t>
            </w:r>
          </w:p>
        </w:tc>
      </w:tr>
      <w:tr w:rsidR="0042058C" w:rsidRPr="0042058C" w:rsidTr="0042058C">
        <w:trPr>
          <w:cantSplit/>
          <w:trHeight w:val="1697"/>
        </w:trPr>
        <w:tc>
          <w:tcPr>
            <w:tcW w:w="554" w:type="pct"/>
            <w:vMerge/>
            <w:shd w:val="clear" w:color="auto" w:fill="auto"/>
          </w:tcPr>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0"/>
                <w:szCs w:val="20"/>
                <w:lang w:eastAsia="ru-RU"/>
              </w:rPr>
            </w:pPr>
          </w:p>
        </w:tc>
        <w:tc>
          <w:tcPr>
            <w:tcW w:w="31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Засоление</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Солончаки и солонцовые комплексы</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переувлажнение</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заболачивание</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Эродировано дефляцией</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эродировано эрозией</w:t>
            </w:r>
          </w:p>
        </w:tc>
        <w:tc>
          <w:tcPr>
            <w:tcW w:w="494"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Совместная водная и ветровая эрозия</w:t>
            </w:r>
          </w:p>
        </w:tc>
        <w:tc>
          <w:tcPr>
            <w:tcW w:w="392" w:type="pct"/>
            <w:shd w:val="clear" w:color="auto" w:fill="auto"/>
            <w:textDirection w:val="btLr"/>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каменистость</w:t>
            </w:r>
          </w:p>
        </w:tc>
        <w:tc>
          <w:tcPr>
            <w:tcW w:w="374" w:type="pct"/>
            <w:vMerge/>
            <w:shd w:val="clear" w:color="auto" w:fill="auto"/>
          </w:tcPr>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0"/>
                <w:szCs w:val="20"/>
                <w:lang w:eastAsia="ru-RU"/>
              </w:rPr>
            </w:pPr>
          </w:p>
        </w:tc>
        <w:tc>
          <w:tcPr>
            <w:tcW w:w="403" w:type="pct"/>
            <w:vMerge/>
            <w:shd w:val="clear" w:color="auto" w:fill="auto"/>
          </w:tcPr>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0"/>
                <w:szCs w:val="20"/>
                <w:lang w:eastAsia="ru-RU"/>
              </w:rPr>
            </w:pPr>
          </w:p>
        </w:tc>
      </w:tr>
      <w:tr w:rsidR="0042058C" w:rsidRPr="0042058C" w:rsidTr="0042058C">
        <w:trPr>
          <w:trHeight w:val="425"/>
        </w:trPr>
        <w:tc>
          <w:tcPr>
            <w:tcW w:w="55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168576</w:t>
            </w:r>
          </w:p>
        </w:tc>
        <w:tc>
          <w:tcPr>
            <w:tcW w:w="31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0</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w:t>
            </w:r>
          </w:p>
        </w:tc>
        <w:tc>
          <w:tcPr>
            <w:tcW w:w="49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4</w:t>
            </w:r>
          </w:p>
        </w:tc>
        <w:tc>
          <w:tcPr>
            <w:tcW w:w="392"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5</w:t>
            </w:r>
          </w:p>
        </w:tc>
        <w:tc>
          <w:tcPr>
            <w:tcW w:w="374"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7</w:t>
            </w:r>
          </w:p>
        </w:tc>
        <w:tc>
          <w:tcPr>
            <w:tcW w:w="403"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4</w:t>
            </w:r>
          </w:p>
        </w:tc>
      </w:tr>
    </w:tbl>
    <w:p w:rsidR="0042058C" w:rsidRPr="0042058C" w:rsidRDefault="0042058C" w:rsidP="0042058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Наибольшую опасность для строительства создают оползни, просадочность лессовых грунтов, подтопление территории, способность глинистых грунтов к набуханию и усадке, эрозия и выветривание.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 территории Труновского муниципального округа находится одна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из незначительных оползневых зон – Московская, с площадью поражения               1,65 </w:t>
      </w:r>
      <w:r w:rsidR="009D6A07">
        <w:rPr>
          <w:rFonts w:ascii="Times New Roman" w:eastAsia="Times New Roman" w:hAnsi="Times New Roman" w:cs="Times New Roman"/>
          <w:sz w:val="28"/>
          <w:szCs w:val="28"/>
          <w:lang w:eastAsia="ru-RU"/>
        </w:rPr>
        <w:t xml:space="preserve">кв. </w:t>
      </w:r>
      <w:r w:rsidRPr="0042058C">
        <w:rPr>
          <w:rFonts w:ascii="Times New Roman" w:eastAsia="Times New Roman" w:hAnsi="Times New Roman" w:cs="Times New Roman"/>
          <w:sz w:val="28"/>
          <w:szCs w:val="28"/>
          <w:lang w:eastAsia="ru-RU"/>
        </w:rPr>
        <w:t>км.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остальных оползневых зонах Ставропольской возвышенности активность оползневого процесса нерегулярна и проявляется в значительно меньшей степени, чем у крупных оползней Ставропольской возвышенности, поэтому режимный мониторинг регулярно не проводится. В 2006 г. было выполнено обследование Московской оползневой зоны, в результате на учет поставили 10</w:t>
      </w:r>
      <w:r w:rsidR="009D6A07">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новых форм достигло 30</w:t>
      </w:r>
      <w:r w:rsidRPr="0042058C">
        <w:rPr>
          <w:rFonts w:ascii="Times New Roman" w:eastAsia="Times New Roman" w:hAnsi="Times New Roman" w:cs="Times New Roman"/>
          <w:sz w:val="28"/>
          <w:szCs w:val="28"/>
          <w:vertAlign w:val="superscript"/>
          <w:lang w:eastAsia="ru-RU"/>
        </w:rPr>
        <w:footnoteReference w:id="11"/>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Важное место в прогнозировании и предупреждении оползней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их последствий занимают мероприятия по мониторингу паводков.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рассматриваемой территории оползни развиваются на современных делювиально-коллювиальных отложениях (мощностью до 40 м), представленных щебнисто-глыбовыми и дресвяными породами, перемятыми суглинками и глинами оползневых накоплений. Оползни, в основном, связаны с инерционностью оползневого процесса, а также с негативными техногенными нарушениями устойчивости склонов.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Характер просадочных процессов лессовых пород под зданиями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сооружениями определяются дополнительными нагрузками от их веса. Следствием этого являются разнообразные деформации зданий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сооружений, а также прогиб участков прилегающей к ней территории. Главными факторами, вызывающими просадочные явления, являются макропористость и влажность. Кроме того, необходимо отметить, что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локальных участках наблюдается и набухающий процесс. Этот процесс отмечается в коренных неогеновых глинах. При этом лёгкие строения подвержены более сильному воздействию, чем капитальные.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Эрозионные процессы на территории Труновского муниципального округа представлены овражной, речной, водной, ветровой эрозиями. Овражная эрозия развита практически повсеместно. Речная эрозия проявляется в виде бокового размыва и углубления русел рек. Водная эрозия проявляется в плоскостной и линейной форме в виде смыва поверхностных </w:t>
      </w:r>
      <w:r w:rsidRPr="0042058C">
        <w:rPr>
          <w:rFonts w:ascii="Times New Roman" w:eastAsia="Times New Roman" w:hAnsi="Times New Roman" w:cs="Times New Roman"/>
          <w:sz w:val="28"/>
          <w:szCs w:val="28"/>
          <w:lang w:eastAsia="ru-RU"/>
        </w:rPr>
        <w:lastRenderedPageBreak/>
        <w:t xml:space="preserve">горизонтов и формировании различного рода промоин. Заболачивание проявляется в виде изменения водного режима, выражающееся в увеличении периодов длительного переувлажнения, подтопления и затопления почв. Ветровой эрозии подвержена северо-восточная и юго-западная части округа, при бурях оголенные пятна могут охватывать до 25-50% площади,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а в некоторых местах превышают 50% площади посевов.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Рельеф и элементы геоморфологии. По физико-географическому районированию территория Труновкого муниципального округа входит в две зоны: геоморфологическая провинция Ставропольской возвышенности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отроги Азово-Кубанской низменности.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Рельеф представляет собой широкую платообразную равнину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падением с юго-востока на северо-запад и носит отчетливо выраженный волнисто-увалистый характер.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Труновском муниципальном округе выделяются следующие геоморфологические районы: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останцево-денудационные платообразные возвышенности (равнины </w:t>
      </w:r>
      <w:r w:rsidR="0009125E">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высотой от 200 до 500 метров над уровнем моря);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эрозионно-аккумулятивные равнины с долинно-балочным расчленением (с высотой от 100 до 200 метров над уровнем моря);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подрайон долины рек (с высотой от 0 до 100 метров над уровнем моря).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Останцево-денудационные платообразные возвышенности: этот геоморфологический район занимает небольшую площадь южной части муниципального округа. Развитые здесь пластовые эрозионные равнины, расположенные ниже останцевых возвышенностей, связаны с выходом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поверхность криптомактрового горизонта среднего сармата. Песчаники, известняки хорошо выражены на крыльях антиклинальных поднятий.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склонов с повышенной крутизной характерно развитие овражно-балочного расчленения. Из других форм мелкого рельефа распространены просадочные блюдца, приуроченные к водораздельным гребням, сложенным лессовидными суглинками. На высокоприподнятых равнинах с наклоном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север имеют вид плоских, слегка всхолмленных участков. Эти равнины расчленены долинами рек на узкие длинные увалы, на которых распространены черноземы обыкновенные и черноземы южные.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Эрозионно-аккумулятивные равнины с долинно-балочным: значительная часть округа занята именно этим геоморфологическим районом, который на всем своем протяжении не имеет одинаковых поверхностных особенностей. В местах перехода останцево-денудационных платообразных возвышенностей в эрозионно-аккумулятивные равнины выражен оползнево-мелкобугристый рельеф, связанный с глинами среднего сармата.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отличие от останцево-денудационных платообразных возвышенностей этот геоморфологический район характеризуется пониженными отметками и пологими формами рельефа с общим уклоном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север и северо-запад и более выраженной развитостью овражно-балочной </w:t>
      </w:r>
      <w:r w:rsidRPr="0042058C">
        <w:rPr>
          <w:rFonts w:ascii="Times New Roman" w:eastAsia="Times New Roman" w:hAnsi="Times New Roman" w:cs="Times New Roman"/>
          <w:sz w:val="28"/>
          <w:szCs w:val="28"/>
          <w:lang w:eastAsia="ru-RU"/>
        </w:rPr>
        <w:lastRenderedPageBreak/>
        <w:t xml:space="preserve">сети. Особенностью этого района являются более выраженные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распространенные аккумулятивные процессы в формировании рельефа</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 и поверхности.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Существующие эрозионно-аккумулятивные наклонные равнины окаймляют Ставропольскую возвышенность. Они сложены красноцветными осадками армавирской свиты, на которых лежат плиоценовые глины.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Повышенные наклонные равнины с полого-волнистой поверхностью,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заметным долинно-балочным расчленением постепенно снижаются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северном направлении по мере приближения к Маныческой равнине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переходят в широко-волнистые равнины с широкими вершинами водоразделов и развитой на них мезорельефной и микрорельефной поверхностью в форме блюдец, западинок, лощин и мезобугорков.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Эти равнины расчленены террасовидными долинами реки Егорлык,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её притоками и овражно-балочной сетью. Часть оврагов и балок временами заполняется водой.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Долины рек Егорлыка, Ташлы, Тугулука и Большой Кугульты: они являются влажным элементом в геоморфологии округа. Долины рек служат одной из главных причин формирования поверхности территории – межречных водоразделов. Разность высот между базисом эрозии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вершинами водоразделов составляет 100-200 метров.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речных долинах, имеющих террасы, отложены мощные речные аллювиальные отложения четвертичного периода, представленные галечниками, песками, глинами, ниже которых залегают известняки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мергели третичного периода. Галечники встречаются и на поверхности высоких террас по рекам Егорлык, Ташла.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целом рельеф муниципального округа достаточно однородный, изрезанный балками и речными долинами. Среди современных процессов, формирующих рельеф крупных форм, главное значение имеют водо-оползневые явления, оседания склонов и даже местами микрокарсты. Преобладающая часть территории Труновского муниципального округа относительно ровная, благоприятная для сельскохозяйственного производства (зерново-животноводческая зона).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Ландшафты. Территория Труновского муниципального округа принадлежит к Ташлянскому ландшафту байрачных лесостепей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Среднеегорлыкскому ландшафту ковыльно-злаковых степей.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Среднеегорлыкский ландшафт объединяет пространства Труновского, Изобильненского, Красногвардейского и Ипатовского муниципальных округов. Климат здесь континентальный, годовое количество осадков –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470-510 мм. Зональным типом почв являются обыкновенные малогумусные мощные и среднемощные черноземы, степи когда-то являлись ковыльно-типчаковыми. Животный мир его до массовой распашки земель практически не отличался от степных комплексов лесостепных ландшафтов, сохранившихся до сих пор. Коэффициент антропогенной нарушенности 0,8.</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 xml:space="preserve">Компонентная подсистема изменена в части растительности, животного населения и водного режима рек и почв. Распространены четвертичные отложения: элювиально-делювиальные (суглинки, щебень), лессовидные эолово-делювиальные на водоразделах и делювиальные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склонах. На юге ландшафта вдоль Понтийского уступа распространены плиоценовые отложения (глины, пески). В долинах рек – аллювиальные отложения. В рельефе преобладают эрозионно-аккумулятивные равнины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балочным и речным расчленением широтного простирания. Распаханность территории более 80%.</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Морфологическая подсистема в связи с преобладанием равнинных форм рельефа позволяет использовать почвенные ресурсы, поэтому преобладают культурные и техногенные территориальные комплексы (ТК). Однако природные ТК, в ранге местностей сохранились, и пейзажный рисунок ландшафта представляют: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водораздельные междолинные равнины широтного простирания, сложенные среднечетвертичными хвалынскими отложениями и покровными суглинками, с агрофитоценозами на распаханных обыкновенных малогумусных черноземах;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эрозионно-аккумулятивные вторичные равнины с балочным расчленением верхнечетвертичного времени, сложенные делювиальными лессовидными суглинками, с агрофитоценозами на распаханных южных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обыкновенных малогумусных черноземах;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долины Егорлыка и притоков второго порядка с пойменными, верхне- и среднечетвертичными террасами, сложенными делювиально-аллювиальными отложениями, со злаковой и полынно-злаковой растительностью на аллювиальных почвах, которые частично распаханы;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аквальные комплексы водохранилищ долины Егорлыка;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селитебные комплексы с преобладанием коттеджного типа застройки, садами и огородами. Плотность населения 20-25 человек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1 </w:t>
      </w:r>
      <w:r w:rsidR="009D6A07">
        <w:rPr>
          <w:rFonts w:ascii="Times New Roman" w:eastAsia="Times New Roman" w:hAnsi="Times New Roman" w:cs="Times New Roman"/>
          <w:sz w:val="28"/>
          <w:szCs w:val="28"/>
          <w:lang w:eastAsia="ru-RU"/>
        </w:rPr>
        <w:t xml:space="preserve">кв. </w:t>
      </w:r>
      <w:r w:rsidRPr="0042058C">
        <w:rPr>
          <w:rFonts w:ascii="Times New Roman" w:eastAsia="Times New Roman" w:hAnsi="Times New Roman" w:cs="Times New Roman"/>
          <w:sz w:val="28"/>
          <w:szCs w:val="28"/>
          <w:lang w:eastAsia="ru-RU"/>
        </w:rPr>
        <w:t>км. Сохранились элементы народной крестьянской культуры преимущественно великорусского происхождения.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Преобладают биоэкосистемы сельскохозяйственных угодий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квазиприродной средой. При этом значительно возрастают площади под орошаемыми культурами (овощные, кормовые). Природные биоэкосистемы сохранились плохо и занимают не более 16% площади. Лесополосы имеют меридиональный характер простирания и занимают 2-3% от пахотных земель.</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Ташлянский природно-культурный ландшафт байрачных лесостепей лежит также частично на территории Шпаковского и Изобильненского муниципальных округов. Большая часть ландшафта расположена в долине реки Ташлы. Коэффициент антропогенной нарушенности 0,8.</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Компонентная система изменена в части растительного и почвенного покрова. Распространены четвертичные отложения. Однообразный рельеф создается верхнесорматскими поверхностями выравнивания, которые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lastRenderedPageBreak/>
        <w:t>к северу понижаются. Поверхности выравнивания расчленяют долины рек Ташлы и Большой и Малой Кугульты. Биоценотическая подсистема представлена окультуренными (77%) и природными биоэкосистемами (20%).</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На территории ландшафта размещаются притоки рек Ташла, Большая Кугульта и Егорлык.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силу высокой освоенности ландшафта животное население сильно изменено. Морфологическая структура представляет собой набор местностей, включающих природные, окультуренные и технические ТК: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междолинные платообразные равнины верхнесорматской поверхности выравнивания с агрофитиценозами на карбонатных чернозёмах;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верховья речных долин с крутыми склонами с байрачными лесами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серых лесных почвах;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речные долины с верхнечетвертичными террасами, сложенными глинами и аллювием, с агрофитоценозами на равнинной территории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маломощных чернозёмах;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селитебные образования рурального типа с преобладанием коттеджной застройки, садами и огородами.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9D6A07">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Таблица </w:t>
      </w:r>
      <w:r w:rsidR="0009125E">
        <w:rPr>
          <w:rFonts w:ascii="Times New Roman" w:eastAsia="Times New Roman" w:hAnsi="Times New Roman" w:cs="Times New Roman"/>
          <w:sz w:val="28"/>
          <w:szCs w:val="28"/>
          <w:lang w:eastAsia="ru-RU"/>
        </w:rPr>
        <w:t>20</w:t>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Структура землепользования в ландшафтах Труновского муниципального округа</w:t>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35"/>
        <w:gridCol w:w="953"/>
        <w:gridCol w:w="1096"/>
        <w:gridCol w:w="1516"/>
        <w:gridCol w:w="1097"/>
        <w:gridCol w:w="701"/>
        <w:gridCol w:w="973"/>
        <w:gridCol w:w="1297"/>
      </w:tblGrid>
      <w:tr w:rsidR="0042058C" w:rsidRPr="0042058C" w:rsidTr="0042058C">
        <w:tc>
          <w:tcPr>
            <w:tcW w:w="723" w:type="pct"/>
            <w:vMerge w:val="restar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Ландшафт</w:t>
            </w:r>
          </w:p>
        </w:tc>
        <w:tc>
          <w:tcPr>
            <w:tcW w:w="4277" w:type="pct"/>
            <w:gridSpan w:val="7"/>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Площадь, %</w:t>
            </w:r>
          </w:p>
        </w:tc>
      </w:tr>
      <w:tr w:rsidR="0042058C" w:rsidRPr="0042058C" w:rsidTr="0042058C">
        <w:trPr>
          <w:cantSplit/>
          <w:trHeight w:val="1588"/>
        </w:trPr>
        <w:tc>
          <w:tcPr>
            <w:tcW w:w="723" w:type="pct"/>
            <w:vMerge/>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p>
        </w:tc>
        <w:tc>
          <w:tcPr>
            <w:tcW w:w="592" w:type="pct"/>
            <w:shd w:val="clear" w:color="auto" w:fill="auto"/>
            <w:textDirection w:val="btLr"/>
            <w:vAlign w:val="center"/>
          </w:tcPr>
          <w:p w:rsidR="0042058C" w:rsidRPr="0042058C" w:rsidRDefault="0042058C" w:rsidP="0042058C">
            <w:pPr>
              <w:spacing w:after="0" w:line="257" w:lineRule="auto"/>
              <w:ind w:left="113" w:right="113"/>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Есте</w:t>
            </w:r>
            <w:r w:rsidRPr="0042058C">
              <w:rPr>
                <w:rFonts w:ascii="Times New Roman" w:eastAsia="Calibri" w:hAnsi="Times New Roman" w:cs="Times New Roman"/>
                <w:bCs/>
                <w:sz w:val="20"/>
                <w:szCs w:val="20"/>
              </w:rPr>
              <w:softHyphen/>
              <w:t>ствен</w:t>
            </w:r>
            <w:r w:rsidRPr="0042058C">
              <w:rPr>
                <w:rFonts w:ascii="Times New Roman" w:eastAsia="Calibri" w:hAnsi="Times New Roman" w:cs="Times New Roman"/>
                <w:bCs/>
                <w:sz w:val="20"/>
                <w:szCs w:val="20"/>
              </w:rPr>
              <w:softHyphen/>
              <w:t>ные ком</w:t>
            </w:r>
            <w:r w:rsidRPr="0042058C">
              <w:rPr>
                <w:rFonts w:ascii="Times New Roman" w:eastAsia="Calibri" w:hAnsi="Times New Roman" w:cs="Times New Roman"/>
                <w:bCs/>
                <w:sz w:val="20"/>
                <w:szCs w:val="20"/>
              </w:rPr>
              <w:softHyphen/>
              <w:t>плексы</w:t>
            </w:r>
          </w:p>
        </w:tc>
        <w:tc>
          <w:tcPr>
            <w:tcW w:w="667" w:type="pc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Сенокосы</w:t>
            </w:r>
          </w:p>
        </w:tc>
        <w:tc>
          <w:tcPr>
            <w:tcW w:w="889" w:type="pc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Пастбища</w:t>
            </w:r>
          </w:p>
        </w:tc>
        <w:tc>
          <w:tcPr>
            <w:tcW w:w="667" w:type="pct"/>
            <w:shd w:val="clear" w:color="auto" w:fill="auto"/>
            <w:textDirection w:val="btLr"/>
            <w:vAlign w:val="center"/>
          </w:tcPr>
          <w:p w:rsidR="0042058C" w:rsidRPr="0042058C" w:rsidRDefault="0042058C" w:rsidP="0042058C">
            <w:pPr>
              <w:spacing w:after="0" w:line="257" w:lineRule="auto"/>
              <w:ind w:left="113" w:right="113"/>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Многолет</w:t>
            </w:r>
            <w:r w:rsidRPr="0042058C">
              <w:rPr>
                <w:rFonts w:ascii="Times New Roman" w:eastAsia="Calibri" w:hAnsi="Times New Roman" w:cs="Times New Roman"/>
                <w:bCs/>
                <w:sz w:val="20"/>
                <w:szCs w:val="20"/>
              </w:rPr>
              <w:softHyphen/>
              <w:t>ние насажде</w:t>
            </w:r>
            <w:r w:rsidRPr="0042058C">
              <w:rPr>
                <w:rFonts w:ascii="Times New Roman" w:eastAsia="Calibri" w:hAnsi="Times New Roman" w:cs="Times New Roman"/>
                <w:bCs/>
                <w:sz w:val="20"/>
                <w:szCs w:val="20"/>
              </w:rPr>
              <w:softHyphen/>
              <w:t>ния</w:t>
            </w:r>
          </w:p>
        </w:tc>
        <w:tc>
          <w:tcPr>
            <w:tcW w:w="444" w:type="pc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Пашня</w:t>
            </w:r>
          </w:p>
        </w:tc>
        <w:tc>
          <w:tcPr>
            <w:tcW w:w="445" w:type="pc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Застройка</w:t>
            </w:r>
          </w:p>
        </w:tc>
        <w:tc>
          <w:tcPr>
            <w:tcW w:w="574" w:type="pct"/>
            <w:shd w:val="clear" w:color="auto" w:fill="auto"/>
            <w:vAlign w:val="center"/>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Коэффициент устойчивости (КУ)</w:t>
            </w:r>
          </w:p>
        </w:tc>
      </w:tr>
      <w:tr w:rsidR="0042058C" w:rsidRPr="0042058C" w:rsidTr="0042058C">
        <w:tc>
          <w:tcPr>
            <w:tcW w:w="723" w:type="pct"/>
            <w:shd w:val="clear" w:color="auto" w:fill="auto"/>
          </w:tcPr>
          <w:p w:rsidR="0042058C" w:rsidRPr="0042058C" w:rsidRDefault="0042058C" w:rsidP="0042058C">
            <w:pPr>
              <w:spacing w:after="0" w:line="257"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Верхнеегорлыкский</w:t>
            </w:r>
          </w:p>
        </w:tc>
        <w:tc>
          <w:tcPr>
            <w:tcW w:w="592"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14</w:t>
            </w:r>
          </w:p>
        </w:tc>
        <w:tc>
          <w:tcPr>
            <w:tcW w:w="667"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w:t>
            </w:r>
          </w:p>
        </w:tc>
        <w:tc>
          <w:tcPr>
            <w:tcW w:w="889"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23,5</w:t>
            </w:r>
          </w:p>
        </w:tc>
        <w:tc>
          <w:tcPr>
            <w:tcW w:w="667"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0,5</w:t>
            </w:r>
          </w:p>
        </w:tc>
        <w:tc>
          <w:tcPr>
            <w:tcW w:w="444"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49</w:t>
            </w:r>
          </w:p>
        </w:tc>
        <w:tc>
          <w:tcPr>
            <w:tcW w:w="445"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w:t>
            </w:r>
          </w:p>
        </w:tc>
        <w:tc>
          <w:tcPr>
            <w:tcW w:w="574"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0,33</w:t>
            </w:r>
          </w:p>
        </w:tc>
      </w:tr>
      <w:tr w:rsidR="0042058C" w:rsidRPr="0042058C" w:rsidTr="0042058C">
        <w:tc>
          <w:tcPr>
            <w:tcW w:w="723" w:type="pct"/>
            <w:shd w:val="clear" w:color="auto" w:fill="auto"/>
          </w:tcPr>
          <w:p w:rsidR="0042058C" w:rsidRPr="0042058C" w:rsidRDefault="0042058C" w:rsidP="0042058C">
            <w:pPr>
              <w:spacing w:after="0" w:line="257"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Ташлянский</w:t>
            </w:r>
          </w:p>
        </w:tc>
        <w:tc>
          <w:tcPr>
            <w:tcW w:w="592"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67"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w:t>
            </w:r>
          </w:p>
        </w:tc>
        <w:tc>
          <w:tcPr>
            <w:tcW w:w="889"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w:t>
            </w:r>
          </w:p>
        </w:tc>
        <w:tc>
          <w:tcPr>
            <w:tcW w:w="667"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w:t>
            </w:r>
          </w:p>
        </w:tc>
        <w:tc>
          <w:tcPr>
            <w:tcW w:w="444"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79,5</w:t>
            </w:r>
          </w:p>
        </w:tc>
        <w:tc>
          <w:tcPr>
            <w:tcW w:w="445"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6,3</w:t>
            </w:r>
          </w:p>
        </w:tc>
        <w:tc>
          <w:tcPr>
            <w:tcW w:w="574" w:type="pct"/>
            <w:shd w:val="clear" w:color="auto" w:fill="auto"/>
          </w:tcPr>
          <w:p w:rsidR="0042058C" w:rsidRPr="0042058C" w:rsidRDefault="0042058C" w:rsidP="0042058C">
            <w:pPr>
              <w:spacing w:after="0" w:line="257"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0,1</w:t>
            </w:r>
          </w:p>
        </w:tc>
      </w:tr>
    </w:tbl>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результате длительного хозяйственного освоения в ландшафтах Труновского муниципального округа сформировались следующие виды сельскохозяйственного землепользования: пашня, кормовые и естественные угодья, многолетние насаждения. Естественные комплексы ландшафта отходят на последнее место, земли со средо- и ресурсостабилизирующими функциями занимают минимальные площади. Природные биоэкосистемы испытывают сильное влияние хозяйственной деятельности человека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находятся на сильной стадии дигрессии, что в свою очередь негативно отражается на процессах эрозии и засолению почв, уменьшению содержания в них гумуса.</w:t>
      </w:r>
    </w:p>
    <w:p w:rsidR="0009125E" w:rsidRDefault="0042058C" w:rsidP="000912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 территории Труновского муниципального округа коэффициент устойчивости ландшафтов (менее 0,3) свидетельствует о низком уровне защищенности. Территория начинает терять свои средовоспроизводящие функции. Компонентная система изменена в части растительного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lastRenderedPageBreak/>
        <w:t xml:space="preserve">и почвенного покрова. Это говорит о необходимости принятия мер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обеспечению экологической устойчивости ландшафта. Должен быть предусмотрен широкий круг мелиоративных мероприятий: от адаптивных, предусматривающих минимальное антропогенное воздействие на ландшафт, до природообустроительных. </w:t>
      </w:r>
    </w:p>
    <w:p w:rsidR="0042058C" w:rsidRPr="0042058C" w:rsidRDefault="0042058C" w:rsidP="000912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2</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Труновский муниципальный округ входит в III почвенно-климатическую зону Ставропольского края. По температурному режиму климат – умеренно континентальный. Среднегодовая температура воздуха 10,0 – 10,5°С, температура наиболее холодного месяца (января) – 4°С,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а самого тёплого (июля) +23°С. В отдельные годы минимум температуры воздуха может достичь -34°, а максимум + 42°С.</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noProof/>
          <w:sz w:val="24"/>
          <w:szCs w:val="24"/>
          <w:lang w:eastAsia="ru-RU"/>
        </w:rPr>
        <w:drawing>
          <wp:inline distT="0" distB="0" distL="0" distR="0" wp14:anchorId="2B7C5204" wp14:editId="5B632A2F">
            <wp:extent cx="5943600" cy="3583305"/>
            <wp:effectExtent l="0" t="0" r="0" b="0"/>
            <wp:docPr id="34" name="Рисунок 34" descr="Описание: C:\Users\Acer\Pictures\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cer\Pictures\кл.jpg"/>
                    <pic:cNvPicPr>
                      <a:picLocks noChangeAspect="1" noChangeArrowheads="1"/>
                    </pic:cNvPicPr>
                  </pic:nvPicPr>
                  <pic:blipFill>
                    <a:blip r:embed="rId10">
                      <a:extLst>
                        <a:ext uri="{28A0092B-C50C-407E-A947-70E740481C1C}">
                          <a14:useLocalDpi xmlns:a14="http://schemas.microsoft.com/office/drawing/2010/main" val="0"/>
                        </a:ext>
                      </a:extLst>
                    </a:blip>
                    <a:srcRect b="9615"/>
                    <a:stretch>
                      <a:fillRect/>
                    </a:stretch>
                  </pic:blipFill>
                  <pic:spPr bwMode="auto">
                    <a:xfrm>
                      <a:off x="0" y="0"/>
                      <a:ext cx="5943600" cy="3583305"/>
                    </a:xfrm>
                    <a:prstGeom prst="rect">
                      <a:avLst/>
                    </a:prstGeom>
                    <a:noFill/>
                    <a:ln>
                      <a:noFill/>
                    </a:ln>
                  </pic:spPr>
                </pic:pic>
              </a:graphicData>
            </a:graphic>
          </wp:inline>
        </w:drawing>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Рисунок 4</w:t>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Климатические показатели Труновского муниципального округа</w:t>
      </w:r>
      <w:r w:rsidRPr="0042058C">
        <w:rPr>
          <w:rFonts w:ascii="Times New Roman" w:eastAsia="Times New Roman" w:hAnsi="Times New Roman" w:cs="Times New Roman"/>
          <w:sz w:val="28"/>
          <w:szCs w:val="28"/>
          <w:vertAlign w:val="superscript"/>
          <w:lang w:eastAsia="ru-RU"/>
        </w:rPr>
        <w:footnoteReference w:id="12"/>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количеству выпадающих осадков Труновский муниципальный округ относится к зоне неустойчивого увлажнения. Среднее годовое количество осадков составляет 380-450 мм. Муниципальный округ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по условиям влагообеспеченности находится в зоне неустойчивого увлажнения с ГТК – 0,9 -1,1.</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Осадки выпадают преимущественно в виде дождя, но зимой бывают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снегопады. Устойчивый снежный покров образуется в конце ноября, мощность его к концу зимы достигает 0,6-0,8 м. Осадки выпадают в виде снега, от 12 до 16 раз ежемесячно. Грунты к концу зимы промерзают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lastRenderedPageBreak/>
        <w:t xml:space="preserve">на глубину 0,6-0,8 м. Часто повторяются туманы, гололеды, сильный ветер. Длительность безморозного периода – 177-180 дней.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Территория Труновского муниципального округа отличается разнообразием климатических условий. На формирование климата существенное значение оказывает наличие на юге Главного Кавказского хребта, в центре – Ставропольское плато, близость акваторий – Каспийского моря на востоке и Черного на западе, большие пространства сухих степей </w:t>
      </w:r>
      <w:r w:rsidR="009D6A07">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полупустынь на северо-востоке и востоке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Нередким явлением на территории являются засухи и суховеи. Суховеи резко понижают влажность воздуха и обусловливают большую испаряемость, намного превосходящую количество выпадаемых осадков. Суховеи сопровождаются сильными ветрами (более 15 м/с).</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Средняя величина испаряемости 130-150 мм. Средняя относительная влажность воздуха 42-44%, со снижением днем до 30%.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Arial" w:eastAsia="Times New Roman" w:hAnsi="Arial" w:cs="Arial"/>
          <w:noProof/>
          <w:sz w:val="24"/>
          <w:szCs w:val="24"/>
          <w:lang w:eastAsia="ru-RU"/>
        </w:rPr>
        <w:drawing>
          <wp:inline distT="0" distB="0" distL="0" distR="0" wp14:anchorId="065638E6" wp14:editId="34D191A4">
            <wp:extent cx="3136900" cy="3668395"/>
            <wp:effectExtent l="0" t="0" r="6350" b="8255"/>
            <wp:docPr id="33" name="Рисунок 33" descr="Описание: C:\Users\Acer\Pictures\к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cer\Pictures\кл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3668395"/>
                    </a:xfrm>
                    <a:prstGeom prst="rect">
                      <a:avLst/>
                    </a:prstGeom>
                    <a:noFill/>
                    <a:ln>
                      <a:noFill/>
                    </a:ln>
                  </pic:spPr>
                </pic:pic>
              </a:graphicData>
            </a:graphic>
          </wp:inline>
        </w:drawing>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Рисунок 5 </w:t>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Роза скоростей ветра Труновского муниципального округа, км/ч                     по основным направлениям</w:t>
      </w:r>
      <w:r w:rsidRPr="0042058C">
        <w:rPr>
          <w:rFonts w:ascii="Times New Roman" w:eastAsia="Times New Roman" w:hAnsi="Times New Roman" w:cs="Times New Roman"/>
          <w:sz w:val="28"/>
          <w:szCs w:val="28"/>
          <w:vertAlign w:val="superscript"/>
          <w:lang w:eastAsia="ru-RU"/>
        </w:rPr>
        <w:footnoteReference w:id="13"/>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Труновский муниципальный округ подвержен действию ветров всех направлений. Летом господствуют ветры западных направлений, зимой – восточных. Скорость ветра 6,5 км/ч. Наибольшей интенсивности ветры достигают в период с февраля (до 72 км/ч) по март (до 60 км/ч). В летний </w:t>
      </w:r>
      <w:r w:rsidRPr="0042058C">
        <w:rPr>
          <w:rFonts w:ascii="Times New Roman" w:eastAsia="Times New Roman" w:hAnsi="Times New Roman" w:cs="Times New Roman"/>
          <w:sz w:val="28"/>
          <w:szCs w:val="28"/>
          <w:lang w:eastAsia="ru-RU"/>
        </w:rPr>
        <w:lastRenderedPageBreak/>
        <w:t>период восточные ветры принимают сухой и пыльный воздух. С ними связаны суховеи, иногда сопровождающиеся пыльными бурями.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Климатические и микроклиматические условия составляют одну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из основ проекта территориального планирования. Ведущие факторы климата исследуемой территории, которые влияют на градостроительные решения, благоприятны для развития строительства в данном округе.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Агроклиматическая оценка. Территория Труновского муниципального округа относится к агроклиматической зоне неустойчивого увлажнения. Возможны проявления таких опасных явлений как заморозки, гололедные явления, сильный снег, метели, засухи и суховеи, сильные ливни, град, туманы, сильные (штормовые) ветра, пыльные бури.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Зона неустойчивого увлажнения характеризуется относительно высоким коэффициентом увлажнения – 0.8-1,0 (ГТК – 0,9-1,1). Климат зоны и природные условия в целом имеют положительное влияние на рост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устойчивость лесостепной растительности, что подтверждается относительно высокой производительностью лесов и разнообразием древесно-кустарниковых пород.</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целом, территория Труновского муниципального округа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климатическим условиям благоприятна для проживания населения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ведения практически любого вида хозяйственной деятельности: сельского хозяйства, промышленного производства, строительства, рекреации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туризма. Зона неустойчивого увлажнения благоприятна для возделывания зерновых и других сельскохозяйственных культур.</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3</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Территория Труновского муниципального округа небогата поверхностными водными ресурсами. Тем не менее, гидрографическая сеть представлена практически всеми видами гидрографии – реки, озера, а также искусственные водоемы.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Гидрографическая сеть Труновского муниципального округа представлена реками Егорлык, Большая Кугульта, Ташла, малыми – Терновка, Терновочка, Тугулук, Малая Кугульта. По территории округа протекает Правоегорлыкский оросительный канал, от которого отходит сеть распределительных артерий. Имеется целая сеть прудов, созданных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естественных понижениях рельефа.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Самой крупной рекой округа является река Егорлык — типично степная река с небольшим уклоном и медленным течением, текущая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направлении с юго-запада на северо-восток по территории Труновского округа. Истоки реки находятся на северо-восточном склоне горы Стрижамент, на высоте 831 метр, в 2-х километрах от станицы Новоекатериновская. Впадает Егорлык в Пролетарское водохранилище. Обычно сток по Егорлыку имеется только в период весенних паводков,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остальное время река бессточная. В жаркие месяцы уровень воды понижается. Питание реки происходит преимущественно за счёт весенних талых вод и, в меньшей степени, за счёт грунтовых вод и летних ливней.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lastRenderedPageBreak/>
        <w:t>По данным государственного водного реестра России, Большой Егорлык относится к Донскому бассейновому округу.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Река Ташла, которая относится к категории малых степных рек, левая составляющая реки Улы. Исток реки находится в Таманском лесу в черте Ставрополя на территории мемориала «Холодный родник». Река вбирает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себя все ручьи Таманского леса и Архиерейской лесной дачи. Река неглубокая 1,0-1,5 метров, ширина её различна. Правобережье наиболее расчленено и отличается пологими и покатыми склонами. Вода в ней слабосоленая и используется для водопоя скота. В летнее время частично пополняется за счет сбросных поливных вод, а весной за счет талых вод.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данным государственного водного реестра России, Ташла относится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к Азовскому бассейновому округу. Река Ташла течёт по территории округа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севера на юг, пересекая с. Донское и с. Безопасное.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Северную часть территории рассекают реки Б. Кугульта и М. Кугульта.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Большая Кугульта – устье реки находится в 243 км по правому берегу реки Егорлык. Длина реки составляет 112 км. Малая Кугульта – название реки Большая Кугульта в верхнем течении. Длина реки составляет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48 км, площадь водосборного бассейна 710 км². По данным государственного водного реестра России относится к Донскому бассейновому округу.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 юго-востока на северо-запад по территории Труновкого муниципального округа протекает типично степная река Тугулук, которая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жаркие месяцы в некоторых местах пересыхает. Устье реки находится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20 км по правому берегу реки Ташлы. Длина реки составляет 42 км, площадь водосборного бассейна 381 км². Питание смешанное: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от атмосферных осадков, таяния снега, родниковое и от притоков, которые расположены с левой стороны. Река Тугулук имеет 14 рукавов, которые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сумме имеют общую длину 44 тысячи метров. В основном, все эти притоки полноводны только весной, летом они пересыхают. По данным государственного водного реестра России относится к Донскому бассейновому округу.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центральной части Труновского муниципального округа проходит Правоегорлыкский канал, который является магистральным каналом Правоегорлыкской оросительно-обводнительной системы. Канал был создан в 1955 году, с целью обводнения и орошения сухих ставропольских равнин. Водозабор канала расположен на Новотроицком водохранилище. Правоегорлыкский канал (ПЕК) проходит в степных условиях в насыпи, огорожен валиками и не подвергается загрязнению со стороны, ложе канала сложено суглинками. Согласно реестру мелиоративных систем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гидротехнических сооружений Министерства сельского хозяйства РФ, физический износ Правоегорлыкской ООС по балансу – 79,7%, фактический физический износ оценен в 50%, техническое состояние оценивается как работоспособное.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Все реки на территории Труновского МО летом сильно мелеют. Вода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Егорлыке и Ташле не минерализованная, пригодная для водопоя скота. </w:t>
      </w:r>
      <w:r w:rsidRPr="0042058C">
        <w:rPr>
          <w:rFonts w:ascii="Times New Roman" w:eastAsia="Times New Roman" w:hAnsi="Times New Roman" w:cs="Times New Roman"/>
          <w:sz w:val="28"/>
          <w:szCs w:val="28"/>
          <w:lang w:eastAsia="ru-RU"/>
        </w:rPr>
        <w:lastRenderedPageBreak/>
        <w:t xml:space="preserve">Характерным для них является высыхание и осолонение вод летом. Распределение стока в течение года неравномерное: на долю весеннего половодья приходится 60-65%, в летне-весенний период – 30%, зимой –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5-10%. На мелких притоках рек расположено большое количество прудов, озер, что также существенно сказывается на распределении стока.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водораздельных пространствах грунтовые воды находятся на глубине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25-30 метров, в пойменных понижениях подступают близко к поверхности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как правило, минерализованы, в связи с чем могут формировать типы засоленных почв.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4</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Почвы Труновского МО обладают средним плодородием, преобладают обыкновенные, малогумусные, мощные и среднемощные черноземы,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Территория округа по почвенному районированию РФ относится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к Предкавказской провинции, для которой характерна почвенная зона – черноземы степи с лиственно-лесной, лесостепной и степной растительностью и каштановые почвы</w:t>
      </w:r>
      <w:r w:rsidRPr="0042058C">
        <w:rPr>
          <w:rFonts w:ascii="Times New Roman" w:eastAsia="Times New Roman" w:hAnsi="Times New Roman" w:cs="Times New Roman"/>
          <w:sz w:val="28"/>
          <w:szCs w:val="28"/>
          <w:vertAlign w:val="superscript"/>
          <w:lang w:eastAsia="ru-RU"/>
        </w:rPr>
        <w:footnoteReference w:id="14"/>
      </w:r>
      <w:r w:rsidRPr="0042058C">
        <w:rPr>
          <w:rFonts w:ascii="Times New Roman" w:eastAsia="Times New Roman" w:hAnsi="Times New Roman" w:cs="Times New Roman"/>
          <w:sz w:val="28"/>
          <w:szCs w:val="28"/>
          <w:lang w:eastAsia="ru-RU"/>
        </w:rPr>
        <w:t>.  Формирование обыкновенных черноземов происходило под богатой разнотравно-злаковой растительностью с глубокой корневой системой, что отразилось на мощности почв и глубине проникновения органического вещества.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Лучшими почвами округа являются чернозёмы предкавказские различной модификации, занимающие 44,4% от общей площади (76,9 тыс. га). Большие площади занимают чернозёмы каштановые и темно-каштановые почвы. Они отличаются от Предкавказских чернозёмов меньшим содержанием гумуса и меньшей мощностью гумусовых горизонтов. Каштановые почвы – 48,7 процента от общей площади (78,3 тыс. га). Малоплодородных солонцов и солончаков – 12 тыс. 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Почвы округа на отдельных участках подвержены слабой и средней водной эрозии и практически на всей территории – ветровой. На территории округа за год возможно 8-10 пыльных бурь, при которых оголённые пятна могут охватывать до 25-50% площади посевов.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Воздействие эрозии и пыльных бурь на пахотные земли округа ослаблено полезащитными лесными полосами, имеющими меридиональное направление.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ботанико-географическому районированию земли Труновского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МО находятся в подзоне разнотравно-дерновинных злаков с типчаково-белополынной, типчаково-полынной, бородачевой и некоторыми другими группировками. Присутствуют небольшие участки лесостепи Ставропольской возвышенности.</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6CD225C" wp14:editId="66ABFED5">
            <wp:extent cx="5922645" cy="4338320"/>
            <wp:effectExtent l="0" t="0" r="1905" b="5080"/>
            <wp:docPr id="32" name="Рисунок 32" descr="Описание: Рисунок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исунок_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2645" cy="4338320"/>
                    </a:xfrm>
                    <a:prstGeom prst="rect">
                      <a:avLst/>
                    </a:prstGeom>
                    <a:noFill/>
                    <a:ln>
                      <a:noFill/>
                    </a:ln>
                  </pic:spPr>
                </pic:pic>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Рисунок 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Зональные типы растительности Ставропольского края</w:t>
      </w:r>
      <w:r w:rsidRPr="0042058C">
        <w:rPr>
          <w:rFonts w:ascii="Times New Roman" w:eastAsia="Times New Roman" w:hAnsi="Times New Roman" w:cs="Times New Roman"/>
          <w:sz w:val="28"/>
          <w:szCs w:val="28"/>
          <w:vertAlign w:val="superscript"/>
          <w:lang w:eastAsia="ru-RU"/>
        </w:rPr>
        <w:footnoteReference w:id="15"/>
      </w:r>
    </w:p>
    <w:p w:rsidR="0042058C" w:rsidRPr="0042058C" w:rsidRDefault="0042058C" w:rsidP="0042058C">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Среди видов растений имеются кормовые, лекарственные, пищевые, декоративные, медоносные, витаминные и другие, имеющие ценность для выведения новых и улучшения старых сортов. Основу травостоя составляют ковыль, типчак, мятлик, овсяница, тонконог, бородач.</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Особенностью растительного покрова Труновского муниципального округа является высокий показатель распаханности, удельный вес пашни – 86,4%. Естественные кормовые угодья (20 тыс. га) сохранились в основном на участках, не пригодных для пашни по почвенным условиям (солонцы, солончаки), и по днищам и склонам балок в поймах рек. Защитные лесонасаждения представлены полезащитными, водорегулирующими, прибалочными и другими насаждениями.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Несмотря на интенсивное хозяйственное развитие территории муниципального округа, сохранились небольшие лесные массивы, представленные такими породами как сосна, граб, тополь. Леса занимают 2,8% площади округа. Прочие древесные породы – орех грецкий, плодовые породы, кустарники – боярышник, лох. Травянистый покров невысокий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редкий, местами видны участки голой почвы.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Участки, расположенные вдоль ручьёв, в днищах балок и долинах рек заняты луговым и лугово-болотным разнотравьем и солончаковой растительностью.</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Животный мир Труновского муниципального округа относится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к степному фаунистическому комплексу. Здесь обитают беспозвоночные: обыкновенный богомол, степной и полевой сверчки, степной красотел, фиолетовая майка, многие виды саранчовых и кузнечиковых.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Земноводные представлены зеленой жабой, редко – чесночницей.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Из пресмыкающихся встречаются ящерица прыткая восточная, полосатая, луговая, понтийская ящерица и разноцветная ящурка. Из редких видов: медянка и четырехполосый полоз.</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Орнитокомплекс типичен для степей: полевой жаворонок, черноголовый чекан, каменка-плясунья, садовая овсянка, полевой конек, перепел, степной лунь, кобчик, чёрный ворон, обыкновенная пустельга, овсянка-просянка, черноголовая трясогузка, фазан.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Из млекопитающих распространены белогрудый и ушастый ежи, кавказский крот, малый суслик, степная мышовка, степная пеструшка, обыкновенный слепыш, полевая мышь, обыкновенный хомяк, заяц-русак, реже встречаются малая белозубка, мышь-малютка, хомяк Раде. Среди хищников – обыкновенная лисица, барсук, перевязка, степной хорь, куница, волк.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Состав ихтиофауны: сазан, серебряный карась, лещ, тарань, судак, сом, белый и пёстрый толстолобик, белый амур, окунь.</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Из промысловых видов в численном отношении преобладают лещ, тарань, серебряный карась и сазан. Состояние стад промысловых рыб удовлетворительное. В последние годы с целью биологической очистки проводится усиленное зарыбление водоёма растительноядными видами рыб.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целом почвы Труновского муниципального округа характеризуются хорошими агрофизическими и агропроизводственными свойствами,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которых можно выращивать и получать высокие и стабильные урожаи всех сельскохозяйственных культур, районированных в регионе.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Но существующая антропогенная нагрузка, сказывается на деградации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разрушении отдельных участков, площадь которых с каждым годом увеличивается. Вследствие ряда причин, таких как неумеренная бессистемная пастьба скота, распашка новых земель, ошибки в ведении хозяйства, значительная часть плодородных земель эродирована. Помимо человеческой деятельности, существенное влияние на плодородие оказывает широко развитая водная и ветровая эрозия на территории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5</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Труновский муниципальный округ располагает необходимыми ресурсами и условиями для развития: месторождениями полезных ископаемых (газ) и нерудных материалов (песок, глина, щебень, известняки), гидроресурсами (питьевая вода из скважин).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На территории округа находится 2 разведанных месторождения газа (Безопасненское месторождение, Тищенский участок), 2 месторождения кирпичных суглинков, которые ранее разрабатывались для получения рядового керамического кирпича марки «100», 2 месторождения известняка-ракушечника, из которых разрабатывалось только одно (Труновское) для производства дорожно-строительных материалов и одно месторождение песка строительного. На территории округа существует 14 прогнозных площадок с залежами кирпично-черепичного сырья и песка</w:t>
      </w:r>
      <w:r w:rsidRPr="0042058C">
        <w:rPr>
          <w:rFonts w:ascii="Times New Roman" w:eastAsia="Times New Roman" w:hAnsi="Times New Roman" w:cs="Times New Roman"/>
          <w:sz w:val="28"/>
          <w:szCs w:val="28"/>
          <w:vertAlign w:val="superscript"/>
          <w:lang w:eastAsia="ru-RU"/>
        </w:rPr>
        <w:footnoteReference w:id="16"/>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Территория муниципального округа перспективна для развития промышленности строительных материалов. Прогнозные ресурсы глинистого сырья, пригодного для производства керамического кирпича составляют 9530 млн. м3, песков, пригодных для строительных работ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производства силикатных изделий – 72 млн. м3, известняков-ракушечников, пригодных для получения строительного камня, бута, щебня и дорожно-строительных материалов- 53 млн. м3.</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Небольшие запасы пресных подземных вод Труновского муниципального округа приурочены к напорным водоносным горизонтам Азово-Кубанского бассейна, а также к безнапорным водоносным горизонтам сарматских отложений Ставропольской возвышенности.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4. Наблюдения за состоянием окружающей среды на территории Труновского муниципального округа проводятся Федеральным государственным бюджетным учреждением «Северо-Кавказское управление по гидрометеорологии и мониторингу окружающей среды». Материал данного раздела подготовлен на основании информации, предоставленной Ставропольским центром по гидрометеорологии и мониторингу окружающей среды – филиала Федерального государственного бюджетного учреждения «Северо-Кавказское управление по гидрометеорологии и мониторингу окружающей среды». На территории Труновского муниципального округа расположен 1 пункт наблюдения за состоянием окружающей среды.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09125E"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Перечень стационарных пунктов наблюдений за состоянием окружающей среды на территории Труновского муниципального округа</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809"/>
        <w:gridCol w:w="3258"/>
      </w:tblGrid>
      <w:tr w:rsidR="0042058C" w:rsidRPr="0042058C" w:rsidTr="0042058C">
        <w:tc>
          <w:tcPr>
            <w:tcW w:w="263" w:type="pct"/>
            <w:shd w:val="clear" w:color="auto" w:fill="auto"/>
            <w:vAlign w:val="center"/>
          </w:tcPr>
          <w:p w:rsidR="0042058C" w:rsidRPr="0042058C" w:rsidRDefault="0042058C" w:rsidP="0042058C">
            <w:pPr>
              <w:shd w:val="clear" w:color="auto" w:fill="FFFFFF"/>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п/п</w:t>
            </w:r>
          </w:p>
        </w:tc>
        <w:tc>
          <w:tcPr>
            <w:tcW w:w="3035" w:type="pct"/>
            <w:shd w:val="clear" w:color="auto" w:fill="auto"/>
            <w:vAlign w:val="center"/>
          </w:tcPr>
          <w:p w:rsidR="0042058C" w:rsidRPr="0042058C" w:rsidRDefault="0042058C" w:rsidP="0042058C">
            <w:pPr>
              <w:shd w:val="clear" w:color="auto" w:fill="FFFFFF"/>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стационарного пункта наблюдений</w:t>
            </w:r>
          </w:p>
        </w:tc>
        <w:tc>
          <w:tcPr>
            <w:tcW w:w="1702" w:type="pct"/>
            <w:shd w:val="clear" w:color="auto" w:fill="auto"/>
            <w:vAlign w:val="center"/>
          </w:tcPr>
          <w:p w:rsidR="0042058C" w:rsidRPr="0042058C" w:rsidRDefault="0042058C" w:rsidP="0042058C">
            <w:pPr>
              <w:shd w:val="clear" w:color="auto" w:fill="FFFFFF"/>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Местоположение</w:t>
            </w:r>
          </w:p>
        </w:tc>
      </w:tr>
      <w:tr w:rsidR="0042058C" w:rsidRPr="0042058C" w:rsidTr="0042058C">
        <w:tc>
          <w:tcPr>
            <w:tcW w:w="263"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w:t>
            </w:r>
          </w:p>
        </w:tc>
        <w:tc>
          <w:tcPr>
            <w:tcW w:w="3035" w:type="pct"/>
            <w:shd w:val="clear" w:color="auto" w:fill="auto"/>
          </w:tcPr>
          <w:p w:rsidR="0042058C" w:rsidRPr="0042058C" w:rsidRDefault="0042058C" w:rsidP="0042058C">
            <w:pPr>
              <w:autoSpaceDE w:val="0"/>
              <w:autoSpaceDN w:val="0"/>
              <w:adjustRightInd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xml:space="preserve">Гидрологический пост </w:t>
            </w:r>
            <w:r w:rsidRPr="0042058C">
              <w:rPr>
                <w:rFonts w:ascii="Times New Roman" w:eastAsia="Calibri" w:hAnsi="Times New Roman" w:cs="Times New Roman"/>
                <w:bCs/>
                <w:sz w:val="20"/>
                <w:szCs w:val="20"/>
                <w:lang w:val="en-US"/>
              </w:rPr>
              <w:t>I</w:t>
            </w:r>
            <w:r w:rsidRPr="0042058C">
              <w:rPr>
                <w:rFonts w:ascii="Times New Roman" w:eastAsia="Calibri" w:hAnsi="Times New Roman" w:cs="Times New Roman"/>
                <w:bCs/>
                <w:sz w:val="20"/>
                <w:szCs w:val="20"/>
              </w:rPr>
              <w:t xml:space="preserve"> разряда Донское – р. Ташла (ГП-Донское)</w:t>
            </w:r>
          </w:p>
        </w:tc>
        <w:tc>
          <w:tcPr>
            <w:tcW w:w="1702"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Труновский муниципальный округ, с. Донское</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целях получения достоверной информации о состоянии окружающей природной среды и ее загрязнения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w:t>
      </w:r>
      <w:r w:rsidRPr="0042058C">
        <w:rPr>
          <w:rFonts w:ascii="Times New Roman" w:eastAsia="Times New Roman" w:hAnsi="Times New Roman" w:cs="Times New Roman"/>
          <w:sz w:val="28"/>
          <w:szCs w:val="28"/>
          <w:lang w:eastAsia="ru-RU"/>
        </w:rPr>
        <w:lastRenderedPageBreak/>
        <w:t>от границ этих пунктов на расстоянии, как правило, 200 метров во все стороны</w:t>
      </w:r>
      <w:r w:rsidRPr="0042058C">
        <w:rPr>
          <w:rFonts w:ascii="Times New Roman" w:eastAsia="Times New Roman" w:hAnsi="Times New Roman" w:cs="Times New Roman"/>
          <w:sz w:val="28"/>
          <w:szCs w:val="28"/>
          <w:vertAlign w:val="superscript"/>
          <w:lang w:eastAsia="ru-RU"/>
        </w:rPr>
        <w:footnoteReference w:id="17"/>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5.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Отношения в области организации, охраны и использования ООПТ регулируются Федеральным законом от 14.03.1995 № 33-ФЗ «Об особо охраняемых природных территориях» (далее – Федеральный закон № 33-ФЗ) и Законом Ставропольского края от 06.05.2014 № 33-КЗ «Об особо охраняемых природных территориях». В соответствии с Федеральным закон № 33-ФЗ виды разрешенного использования земельных участков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предельные (максимальные и (или) минимальные) параметры разрешенного строительства, реконструкции объектов капитального строительства, расположенных в границах особо охраняемых природных территорий, определяются Положением об особо охраняемых природных территориях. При разработке правил землепользования и застройки Труновского муниципального округа градостроительные регламенты для особо охраняемых природных территорий, расположенных в природно-рекреационной зоне, не устанавливаются.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Согласно данным Министерства природных ресурсов и охраны окружающей среды Ставропольского края на территории Труновского муниципального округа Ставропольского края нет особо охраняемых территорий.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6. В процессе проведения комплексной оценки территории, определяется степень ее благоприятности по сумме всех градостроительных факторов: природных, санитарных, экономических и планировочных.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Главная задача комплексной оценки территории – показать, с одной стороны, определённые ограничения для градостроительной деятельности,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а с другой стороны, – благоприятные условия и предпосылки для градостроительного и хозяйственного освоения территории.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Оценка природных условий заключается в выявлении степени благоприятности территории для различных видов ее градостроительного использования.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результате определяют характер рационального использования территории, формирования ее планировочной структуры. Одновременно </w:t>
      </w:r>
      <w:r w:rsidRPr="0042058C">
        <w:rPr>
          <w:rFonts w:ascii="Times New Roman" w:eastAsia="Times New Roman" w:hAnsi="Times New Roman" w:cs="Times New Roman"/>
          <w:sz w:val="28"/>
          <w:szCs w:val="28"/>
          <w:lang w:eastAsia="ru-RU"/>
        </w:rPr>
        <w:lastRenderedPageBreak/>
        <w:t>устанавливают принципы инженерной подготовки данной территории, восстановления, сохранения и улучшения природных ландшафтов. В зоне опасных геологических процессов намечают мероприятия по защите среды.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Такая оценка позволяет обосновать рациональное взаимное размещение функциональных зон населенных пунктов, предусмотреть оптимальные резервные территории для их дальнейшего развития.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 этой точки зрения территории классифицируют на три группы: благоприятные, неблагоприятные и особо неблагоприятные.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Поскольку требования, предъявляемые к размещению, строительству, инженерной подготовке и благоустройству, неодинаковы для различных территориальных зон, то для каждой из них используют свои критерии.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Факторы суммарно оценивают на основе балльной методики, предложенной институтом ЦНИПИ</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градостроительства. Она дает возможность количественно оценить различные варианты территориального использования и тем самым обосновать оптимальный.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Степень благоприятности территории для строительства</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20" w:firstRow="1" w:lastRow="0" w:firstColumn="0" w:lastColumn="0" w:noHBand="1" w:noVBand="1"/>
      </w:tblPr>
      <w:tblGrid>
        <w:gridCol w:w="2545"/>
        <w:gridCol w:w="2046"/>
        <w:gridCol w:w="2546"/>
        <w:gridCol w:w="2273"/>
      </w:tblGrid>
      <w:tr w:rsidR="0042058C" w:rsidRPr="0042058C" w:rsidTr="0042058C">
        <w:trPr>
          <w:cantSplit/>
          <w:trHeight w:val="253"/>
        </w:trPr>
        <w:tc>
          <w:tcPr>
            <w:tcW w:w="1352" w:type="pct"/>
            <w:vMerge w:val="restart"/>
            <w:shd w:val="clear" w:color="auto" w:fill="auto"/>
            <w:vAlign w:val="center"/>
            <w:hideMark/>
          </w:tcPr>
          <w:p w:rsidR="0042058C" w:rsidRPr="0042058C" w:rsidRDefault="0042058C" w:rsidP="0042058C">
            <w:pPr>
              <w:keepNext/>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Факторы</w:t>
            </w:r>
          </w:p>
        </w:tc>
        <w:tc>
          <w:tcPr>
            <w:tcW w:w="3648" w:type="pct"/>
            <w:gridSpan w:val="3"/>
            <w:shd w:val="clear" w:color="auto" w:fill="auto"/>
            <w:vAlign w:val="center"/>
            <w:hideMark/>
          </w:tcPr>
          <w:p w:rsidR="0042058C" w:rsidRPr="0042058C" w:rsidRDefault="0042058C" w:rsidP="0042058C">
            <w:pPr>
              <w:keepNext/>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Степень благоприятности территории для строительства</w:t>
            </w:r>
          </w:p>
        </w:tc>
      </w:tr>
      <w:tr w:rsidR="0042058C" w:rsidRPr="0042058C" w:rsidTr="0042058C">
        <w:trPr>
          <w:cantSplit/>
          <w:trHeight w:val="120"/>
        </w:trPr>
        <w:tc>
          <w:tcPr>
            <w:tcW w:w="1352" w:type="pct"/>
            <w:vMerge/>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благоприятные</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неблагоприятные</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особо неблагоприятные</w:t>
            </w:r>
          </w:p>
        </w:tc>
      </w:tr>
      <w:tr w:rsidR="0042058C" w:rsidRPr="0042058C" w:rsidTr="0042058C">
        <w:trPr>
          <w:cantSplit/>
          <w:trHeight w:val="598"/>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Уклон поверхности территории, %:</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жилищно-гражданское;</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промышленное</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0,5 – 8</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менее 0,5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 8 до 15</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более 15</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Нормативное давление на грунты основания, Па:</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жилищно-гражданское;</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промышленное</w:t>
            </w:r>
          </w:p>
        </w:tc>
        <w:tc>
          <w:tcPr>
            <w:tcW w:w="1087"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1,5х10</w:t>
            </w:r>
            <w:r w:rsidRPr="0042058C">
              <w:rPr>
                <w:rFonts w:ascii="Times New Roman" w:eastAsia="Times New Roman" w:hAnsi="Times New Roman" w:cs="Times New Roman"/>
                <w:sz w:val="20"/>
                <w:szCs w:val="20"/>
                <w:vertAlign w:val="superscript"/>
                <w:lang w:eastAsia="ru-RU"/>
              </w:rPr>
              <w:t>5</w:t>
            </w:r>
          </w:p>
        </w:tc>
        <w:tc>
          <w:tcPr>
            <w:tcW w:w="1353"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от 1,0 до 1,5х10</w:t>
            </w:r>
            <w:r w:rsidRPr="0042058C">
              <w:rPr>
                <w:rFonts w:ascii="Times New Roman" w:eastAsia="Times New Roman" w:hAnsi="Times New Roman" w:cs="Times New Roman"/>
                <w:sz w:val="20"/>
                <w:szCs w:val="20"/>
                <w:vertAlign w:val="superscript"/>
                <w:lang w:eastAsia="ru-RU"/>
              </w:rPr>
              <w:t>5</w:t>
            </w:r>
          </w:p>
        </w:tc>
        <w:tc>
          <w:tcPr>
            <w:tcW w:w="1208"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менее 1,0х10</w:t>
            </w:r>
            <w:r w:rsidRPr="0042058C">
              <w:rPr>
                <w:rFonts w:ascii="Times New Roman" w:eastAsia="Times New Roman" w:hAnsi="Times New Roman" w:cs="Times New Roman"/>
                <w:sz w:val="20"/>
                <w:szCs w:val="20"/>
                <w:vertAlign w:val="superscript"/>
                <w:lang w:eastAsia="ru-RU"/>
              </w:rPr>
              <w:t>5</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Глубина залегания уровня грунтовых вод: *</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жилищно-гражданское;</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промышленное</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более 3м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более 7м</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 1 до 3м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 3 до 7м</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менее 1м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менее 3м</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Возвышение поверхности прибрежной территории над расчетным УВВ ** рек и водохранилищ:</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жилищно-гражданское;</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промышленное</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более 5м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более 7м</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0-5м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0-7м</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УВВ ниже поверхности территории на 1…5м</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Распространение физико-геологических процессов (в% от общей площади):</w:t>
            </w:r>
          </w:p>
          <w:p w:rsidR="0042058C" w:rsidRPr="0042058C" w:rsidRDefault="0042058C" w:rsidP="0042058C">
            <w:pPr>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жилищно-гражданское;</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промышленное</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менее 1%</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 1 до 10%</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от 10 до 20%</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b/>
                <w:bCs/>
                <w:sz w:val="20"/>
                <w:szCs w:val="20"/>
                <w:lang w:eastAsia="ru-RU"/>
              </w:rPr>
            </w:pPr>
            <w:r w:rsidRPr="0042058C">
              <w:rPr>
                <w:rFonts w:ascii="Times New Roman" w:eastAsia="Times New Roman" w:hAnsi="Times New Roman" w:cs="Times New Roman"/>
                <w:bCs/>
                <w:sz w:val="20"/>
                <w:szCs w:val="20"/>
                <w:lang w:eastAsia="ru-RU"/>
              </w:rPr>
              <w:t>Проветриваемость территории для жилищно-гражданского строительства</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Хорошо проветриваемые и защищенные от сильных ветров и бурь</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Замкнутые котловины с длительным застоем воздуха и участки, незащищенные от сильных и вредоносных ветров и бурь.</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Расположенные в пределах СЗЗ от источников сильного загрязнения атмосферы</w:t>
            </w:r>
          </w:p>
        </w:tc>
      </w:tr>
      <w:tr w:rsidR="0042058C" w:rsidRPr="0042058C" w:rsidTr="0042058C">
        <w:trPr>
          <w:cantSplit/>
          <w:trHeight w:val="20"/>
        </w:trPr>
        <w:tc>
          <w:tcPr>
            <w:tcW w:w="1352" w:type="pct"/>
            <w:shd w:val="clear" w:color="auto" w:fill="auto"/>
            <w:vAlign w:val="center"/>
            <w:hideMark/>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lastRenderedPageBreak/>
              <w:t>Инсоляция территории для жилищно-гражданского строительства</w:t>
            </w:r>
          </w:p>
        </w:tc>
        <w:tc>
          <w:tcPr>
            <w:tcW w:w="1087"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Нормально инсолируемые в течение всего года</w:t>
            </w:r>
          </w:p>
        </w:tc>
        <w:tc>
          <w:tcPr>
            <w:tcW w:w="1353"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Затененные более половины нормальной продолжительности инсоляции</w:t>
            </w:r>
          </w:p>
        </w:tc>
        <w:tc>
          <w:tcPr>
            <w:tcW w:w="1208" w:type="pct"/>
            <w:shd w:val="clear" w:color="auto" w:fill="auto"/>
            <w:vAlign w:val="center"/>
            <w:hideMark/>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Неинсолируемые в течение всего года</w:t>
            </w:r>
          </w:p>
        </w:tc>
      </w:tr>
      <w:tr w:rsidR="0042058C" w:rsidRPr="0042058C" w:rsidTr="0042058C">
        <w:trPr>
          <w:cantSplit/>
          <w:trHeight w:val="20"/>
        </w:trPr>
        <w:tc>
          <w:tcPr>
            <w:tcW w:w="1352"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Морфологические свойства почв, грунты</w:t>
            </w:r>
          </w:p>
        </w:tc>
        <w:tc>
          <w:tcPr>
            <w:tcW w:w="108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черноземы разные, легкие и средние суглинки, супеси</w:t>
            </w:r>
          </w:p>
        </w:tc>
        <w:tc>
          <w:tcPr>
            <w:tcW w:w="1353"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слабо засоленные, выщелочные, кислые; пески глины средние и тяжелые, суглинки тяжелые</w:t>
            </w:r>
          </w:p>
        </w:tc>
        <w:tc>
          <w:tcPr>
            <w:tcW w:w="1208"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солонцы, солончаки, лишенные почвенного слоя; скальные породы (при сплошном залегании)</w:t>
            </w:r>
          </w:p>
        </w:tc>
      </w:tr>
      <w:tr w:rsidR="0042058C" w:rsidRPr="0042058C" w:rsidTr="0042058C">
        <w:trPr>
          <w:cantSplit/>
          <w:trHeight w:val="419"/>
        </w:trPr>
        <w:tc>
          <w:tcPr>
            <w:tcW w:w="1352" w:type="pct"/>
            <w:shd w:val="clear" w:color="auto" w:fill="auto"/>
            <w:vAlign w:val="center"/>
          </w:tcPr>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Заболоченность </w:t>
            </w:r>
          </w:p>
        </w:tc>
        <w:tc>
          <w:tcPr>
            <w:tcW w:w="1087"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заболоченность и бессточные участки отсутствуют</w:t>
            </w:r>
          </w:p>
        </w:tc>
        <w:tc>
          <w:tcPr>
            <w:tcW w:w="1353"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заболоченность вследствие избыточных атмосферных осадков, легко осушаемая</w:t>
            </w:r>
          </w:p>
        </w:tc>
        <w:tc>
          <w:tcPr>
            <w:tcW w:w="1208"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болота грунтового питания, трудно осушаемые</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Определяется с учетом возможного изменения баланса грунтовых вод.</w:t>
      </w:r>
    </w:p>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0"/>
          <w:szCs w:val="20"/>
          <w:lang w:eastAsia="ru-RU"/>
        </w:rPr>
        <w:t>** Устанавливается с учетом последствий подтопления и затопления территории при нахождении высоких вод и в результате разрушения плотин, расположенных выше населенного места.</w:t>
      </w:r>
    </w:p>
    <w:p w:rsidR="0042058C" w:rsidRPr="0042058C" w:rsidRDefault="0042058C" w:rsidP="0042058C">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Отдельные природные факторы дополняют, уточняют и детализируют степень благоприятности в зависимости от географического положения проектируемой территории, климатических условий местности и особых природных условий.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Климат Труновского муниципального округа благоприятен,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тепловому режиму – умеренно-континентальный. В целом привлекателен для проживания населения и ведения практически любого вида хозяйственной деятельности. Территория округа небогата поверхностными водными ресурсами. Реки типично степные, в жаркий период становятся маловодными, некоторые пересыхают. Большую нагрузку представляет Правоегорлыкский канал, который является не только источником питьевой воды для населения Труновского муниципального округа, но и для полива сельскохозяйственных посадок, для отрасли животноводства, промышленного производства.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Рельеф муниципального округа достаточно однородный, изрезанный балками и речными долинами, что затрудняет освоение территории, существенно усложняя условия строительства. Среди современных процессов, формирующих рельеф крупных форм, главное значение имеют водо-оползневые явления, оседания склонов и даже местами микрокарсты. Преобладающая часть территории Труновского муниципального округа относительно ровная, благоприятная для сельскохозяйственного производства (зерново-животноводческая зона).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Условия строительства на территории населенных пунктов округа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значительной степени определяются глубиной залегания подземных вод,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а также их агрессивностью. Агрессивность подземных вод первого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поверхности водоносного горизонта может быть причиной разрушения подземных частей сооружений и является неблагоприятным фактором, влияющим на значительное удорожание строительства.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Территория Труновского муниципального округа характеризуется наличием опасных физико-геологических процессов: оползней, просадочных лессовых грунтов, подтоплением территории (с. Донское), способности </w:t>
      </w:r>
      <w:r w:rsidRPr="0042058C">
        <w:rPr>
          <w:rFonts w:ascii="Times New Roman" w:eastAsia="Times New Roman" w:hAnsi="Times New Roman" w:cs="Times New Roman"/>
          <w:sz w:val="28"/>
          <w:szCs w:val="28"/>
          <w:lang w:eastAsia="ru-RU"/>
        </w:rPr>
        <w:lastRenderedPageBreak/>
        <w:t xml:space="preserve">глинистых грунтов к набуханию и усадке, эрозии и выветриванию                        (р. Терновка, р. Ташла).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 территориях, подверженных овражной эрозии и образованию оползней рекомендуется регулирование поверхностного стока, инженерная подготовка оврагов. В зонах овражной эрозии, необходимо предотвратить процесс дальнейшего оврагообразования, в зонах образования и влияния оползней – запретить размещение строительства.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связи с этим возникает необходимость в использовании дополнительных характеристик, позволяющих учитывать характерные особенности территории. На зоны с активными физико-геологическими процессами, которые могут нарушить устойчивость зданий и сооружений, накладывают планировочные ограничения. Одновременно предусматривают защитные мероприятия, гарантирующие нормальную эксплуатацию зданий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сооружений.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районах оползневых процессов необходимо иметь сведения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только о масштабах распространения этих процессов, но и об их активности, типах оползней и особенностях микрорельефа оползневых зон.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Наличие трещин в грунте или близко расположенных от поверхности грунтовых вод приводит к возрастанию потенциальной сейсмичности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1…2 балла. Такое увеличение принципиально влияет на оценку степени благоприятности площадки для строительства и возможности использования ее в тех или иных градостроительных целях.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природным характеристикам наиболее удобны для градостроительного использования благоприятные территории, поскольку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не требуют проведения сложных мероприятий по инженерной подготовке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поэтому их освоение экономически наиболее эффективно. Степень благоприятности зависит от перспективного использования территории. Например, участки, неблагоприятные для размещения застройки, могут быть вполне благоприятными для создания садов, парков и других зеленых зон.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сложных природных условиях, особенно при реконструкции, осваивают неблагоприятные или даже особо неблагоприятные территории, где затраты на инженерную подготовку резко возрастают из-за необходимости проведения специальных инженерных мероприятий. Создание компактной планировочной структуры и интенсивного использования территории оправдывают затраты на эти мероприятия.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затрагивают лишь те участки, где активно действуют геологические процессы. Размещение зданий и сооружений в таких зонах не допускается.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результате комплексной оценки природных условий Труновского муниципального округа выявлены территории, в границах которых устанавливаются ограничения на использование и осуществление градостроительной деятельности. Это в первую очередь участки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со сложностями преобразования природных условий: зоны наибольшего загрязнения окружающей среды, нарушенный ландшафт и сложные инженерно-геологических процессы.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lastRenderedPageBreak/>
        <w:t>Таким образом, природные условия являются значимым фактором, ограничивающим градостроительное использование территории, влияющими не только на ее функциональное зонирование и архитектурно-планировочное решение, но предопределяет состав и сложность мероприятий по инженерной подготовке. При размещении зданий, строений, сооружений и иных объектов должно быть обеспечено выполнение требований в области охраны окружающей среды, обеспечения экологической безопасности с учетом ближайших и отдаленных экологических, экономических, демографических и иных последствий эксплуатации указанных объектов.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7. При проведении исследования возникают сложности с получением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использованием статистической информации. Во-первых, существующая система учета населения допускает значительные различия между постоянным и наличным населением. Во-вторых, сведения похозяйственных книг, как источник первичной информации, отличаются невысоким качеством. В-третьих, информация Федеральной службы государственной статистики, исполнительных органов власти и других источников значительно различаются между собой. В-четвертых, муниципальная реформа в Ставропольском крае негативно отразилась на качестве разрабатываемой демографической статистики. В-пятых, недостаточно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некачественно обеспечен учет миграции, ее влияние на численность, воспроизводство и структуру населения. Вышеперечисленное затрудняет возможности анализа демографической ситуации.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Численность населения Труновского муниципального округа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01.01.2021 г. составила 29,8 тыс. чел., что в общей численности населения Ставропольского края составляет 1,1%</w:t>
      </w:r>
      <w:r w:rsidRPr="0042058C">
        <w:rPr>
          <w:rFonts w:ascii="Times New Roman" w:eastAsia="Times New Roman" w:hAnsi="Times New Roman" w:cs="Times New Roman"/>
          <w:sz w:val="28"/>
          <w:szCs w:val="28"/>
          <w:vertAlign w:val="superscript"/>
          <w:lang w:eastAsia="ru-RU"/>
        </w:rPr>
        <w:footnoteReference w:id="18"/>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Анализ демографической ситуации основывается, в первую очередь,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изучении динамики численности населения за ряд лет.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23</w:t>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Динамика численности населения Труновского муниципального округа в 2002-2020 гг., чел., %</w:t>
      </w:r>
      <w:r w:rsidRPr="0042058C">
        <w:rPr>
          <w:rFonts w:ascii="Times New Roman" w:eastAsia="Times New Roman" w:hAnsi="Times New Roman" w:cs="Times New Roman"/>
          <w:sz w:val="28"/>
          <w:szCs w:val="28"/>
          <w:vertAlign w:val="superscript"/>
          <w:lang w:eastAsia="ru-RU"/>
        </w:rPr>
        <w:footnoteReference w:id="19"/>
      </w:r>
      <w:r w:rsidRPr="0042058C">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vertAlign w:val="superscript"/>
          <w:lang w:eastAsia="ru-RU"/>
        </w:rPr>
        <w:footnoteReference w:id="20"/>
      </w:r>
      <w:r w:rsidRPr="0042058C">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vertAlign w:val="superscript"/>
          <w:lang w:eastAsia="ru-RU"/>
        </w:rPr>
        <w:footnoteReference w:id="21"/>
      </w: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4808"/>
      </w:tblGrid>
      <w:tr w:rsidR="0042058C" w:rsidRPr="0042058C" w:rsidTr="0042058C">
        <w:trPr>
          <w:trHeight w:val="562"/>
          <w:tblHeader/>
          <w:jc w:val="center"/>
        </w:trPr>
        <w:tc>
          <w:tcPr>
            <w:tcW w:w="2488" w:type="pct"/>
            <w:vAlign w:val="center"/>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Годы</w:t>
            </w:r>
          </w:p>
        </w:tc>
        <w:tc>
          <w:tcPr>
            <w:tcW w:w="2512" w:type="pct"/>
            <w:vAlign w:val="center"/>
            <w:hideMark/>
          </w:tcPr>
          <w:p w:rsidR="0042058C" w:rsidRPr="0042058C" w:rsidRDefault="0042058C" w:rsidP="0042058C">
            <w:pPr>
              <w:widowControl w:val="0"/>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Численность </w:t>
            </w:r>
          </w:p>
          <w:p w:rsidR="0042058C" w:rsidRPr="0042058C" w:rsidRDefault="0042058C" w:rsidP="0042058C">
            <w:pPr>
              <w:widowControl w:val="0"/>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населения МО, чел.</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2002 (всероссийская перепись населения)</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35403</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2010 (всероссийская перепись населения)</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34558</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2016</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32863</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2017</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32350</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2018</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31818</w:t>
            </w:r>
          </w:p>
        </w:tc>
      </w:tr>
      <w:tr w:rsidR="0042058C" w:rsidRPr="0042058C" w:rsidTr="0042058C">
        <w:trPr>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2019</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31071</w:t>
            </w:r>
          </w:p>
        </w:tc>
      </w:tr>
      <w:tr w:rsidR="0042058C" w:rsidRPr="0042058C" w:rsidTr="0042058C">
        <w:trPr>
          <w:trHeight w:val="50"/>
          <w:jc w:val="center"/>
        </w:trPr>
        <w:tc>
          <w:tcPr>
            <w:tcW w:w="2488" w:type="pct"/>
            <w:vAlign w:val="bottom"/>
            <w:hideMark/>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2020</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30449</w:t>
            </w:r>
          </w:p>
        </w:tc>
      </w:tr>
      <w:tr w:rsidR="0042058C" w:rsidRPr="0042058C" w:rsidTr="0042058C">
        <w:trPr>
          <w:trHeight w:val="50"/>
          <w:jc w:val="center"/>
        </w:trPr>
        <w:tc>
          <w:tcPr>
            <w:tcW w:w="2488" w:type="pct"/>
            <w:vAlign w:val="bottom"/>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2021</w:t>
            </w:r>
          </w:p>
        </w:tc>
        <w:tc>
          <w:tcPr>
            <w:tcW w:w="2512" w:type="pct"/>
            <w:vAlign w:val="center"/>
          </w:tcPr>
          <w:p w:rsidR="0042058C" w:rsidRPr="0042058C" w:rsidRDefault="0042058C" w:rsidP="0042058C">
            <w:pPr>
              <w:tabs>
                <w:tab w:val="right" w:leader="dot" w:pos="9488"/>
              </w:tabs>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29846</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Динамика численности населения Труновского муниципального округа в 2002-2021 гг., чел., %</w:t>
      </w:r>
      <w:r w:rsidRPr="0042058C">
        <w:rPr>
          <w:rFonts w:ascii="Times New Roman" w:eastAsia="Times New Roman" w:hAnsi="Times New Roman" w:cs="Times New Roman"/>
          <w:sz w:val="28"/>
          <w:szCs w:val="28"/>
          <w:vertAlign w:val="superscript"/>
          <w:lang w:eastAsia="ru-RU"/>
        </w:rPr>
        <w:footnoteReference w:id="22"/>
      </w:r>
      <w:r w:rsidRPr="0042058C">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vertAlign w:val="superscript"/>
          <w:lang w:eastAsia="ru-RU"/>
        </w:rPr>
        <w:footnoteReference w:id="23"/>
      </w:r>
      <w:r w:rsidRPr="0042058C">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vertAlign w:val="superscript"/>
          <w:lang w:eastAsia="ru-RU"/>
        </w:rPr>
        <w:footnoteReference w:id="24"/>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17"/>
        <w:gridCol w:w="1025"/>
        <w:gridCol w:w="1025"/>
        <w:gridCol w:w="1025"/>
        <w:gridCol w:w="1025"/>
        <w:gridCol w:w="1025"/>
        <w:gridCol w:w="1026"/>
      </w:tblGrid>
      <w:tr w:rsidR="0042058C" w:rsidRPr="0042058C" w:rsidTr="0042058C">
        <w:tc>
          <w:tcPr>
            <w:tcW w:w="3318" w:type="dxa"/>
            <w:vMerge w:val="restar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Территориальные управления, населенные пункты</w:t>
            </w:r>
          </w:p>
        </w:tc>
        <w:tc>
          <w:tcPr>
            <w:tcW w:w="3075" w:type="dxa"/>
            <w:gridSpan w:val="3"/>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Численность населения, чел.</w:t>
            </w:r>
          </w:p>
        </w:tc>
        <w:tc>
          <w:tcPr>
            <w:tcW w:w="3076" w:type="dxa"/>
            <w:gridSpan w:val="3"/>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sz w:val="20"/>
                <w:szCs w:val="20"/>
                <w:lang w:eastAsia="ru-RU"/>
              </w:rPr>
              <w:t>Прирост за период, %</w:t>
            </w:r>
          </w:p>
        </w:tc>
      </w:tr>
      <w:tr w:rsidR="0042058C" w:rsidRPr="0042058C" w:rsidTr="0042058C">
        <w:tc>
          <w:tcPr>
            <w:tcW w:w="3318" w:type="dxa"/>
            <w:vMerge/>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p>
        </w:tc>
        <w:tc>
          <w:tcPr>
            <w:tcW w:w="1025"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2002</w:t>
            </w:r>
          </w:p>
        </w:tc>
        <w:tc>
          <w:tcPr>
            <w:tcW w:w="1025"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2010</w:t>
            </w:r>
          </w:p>
        </w:tc>
        <w:tc>
          <w:tcPr>
            <w:tcW w:w="1025"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2021</w:t>
            </w:r>
          </w:p>
        </w:tc>
        <w:tc>
          <w:tcPr>
            <w:tcW w:w="1025"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2002-2010</w:t>
            </w:r>
          </w:p>
        </w:tc>
        <w:tc>
          <w:tcPr>
            <w:tcW w:w="1025"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2010-2021</w:t>
            </w:r>
          </w:p>
        </w:tc>
        <w:tc>
          <w:tcPr>
            <w:tcW w:w="1026"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2002-2021</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bookmarkStart w:id="42" w:name="_Hlk47273921"/>
            <w:r w:rsidRPr="0042058C">
              <w:rPr>
                <w:rFonts w:ascii="Times New Roman" w:eastAsia="Times New Roman" w:hAnsi="Times New Roman" w:cs="Times New Roman"/>
                <w:bCs/>
                <w:iCs/>
                <w:sz w:val="20"/>
                <w:szCs w:val="20"/>
                <w:lang w:eastAsia="ru-RU"/>
              </w:rPr>
              <w:t>ТУ с. Безопасное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7339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6844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6069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-11,3</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-17,3</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Безопасное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7049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6598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х. Егорлык</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rPr>
              <w:t>х. Эммануэлевский</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283</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246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ТУ с. Донское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15716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15558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13492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-1,0</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-13,3</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-14,2</w:t>
            </w:r>
          </w:p>
        </w:tc>
      </w:tr>
      <w:bookmarkEnd w:id="42"/>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Донское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15196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14927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х. Невдахин</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520</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631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+21,3</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ТУ пос. Кирова</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2949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2944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2419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-0,2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-17,8</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-18,0</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им. Кирова</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1632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1717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Нижняя Терновка</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262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250</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Новотерновский</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432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421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Правоегорлыкский</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328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Сухой Лог</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ТУ с. Новая Кугульта</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761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787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637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+3,4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-19,1</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-16,3</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Новая Кугульта</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761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787</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ТУ с. Подлесное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1786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1842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1548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+3,1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-16,0</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-13,3</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Подлесное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1786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1842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ТУ с. Труновское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6852</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6583</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5681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-3,9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-13,7</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iCs/>
                <w:sz w:val="20"/>
                <w:szCs w:val="20"/>
                <w:lang w:eastAsia="ru-RU"/>
              </w:rPr>
            </w:pPr>
            <w:r w:rsidRPr="0042058C">
              <w:rPr>
                <w:rFonts w:ascii="Times New Roman" w:eastAsia="Times New Roman" w:hAnsi="Times New Roman" w:cs="Times New Roman"/>
                <w:bCs/>
                <w:iCs/>
                <w:sz w:val="20"/>
                <w:szCs w:val="20"/>
                <w:lang w:eastAsia="ru-RU"/>
              </w:rPr>
              <w:t>-17,1</w:t>
            </w: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Труновское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6345</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6121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Ключевское</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481</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443</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х. Кофанов</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-26,9</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c>
          <w:tcPr>
            <w:tcW w:w="3318"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bookmarkStart w:id="43" w:name="_Hlk47104592"/>
            <w:r w:rsidRPr="0042058C">
              <w:rPr>
                <w:rFonts w:ascii="Times New Roman" w:eastAsia="Times New Roman" w:hAnsi="Times New Roman" w:cs="Times New Roman"/>
                <w:bCs/>
                <w:sz w:val="20"/>
                <w:szCs w:val="20"/>
                <w:lang w:eastAsia="ru-RU"/>
              </w:rPr>
              <w:t>Всего по муниципальному округу</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35403</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34558</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29846</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-2,4</w:t>
            </w:r>
          </w:p>
        </w:tc>
        <w:tc>
          <w:tcPr>
            <w:tcW w:w="102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-13,6</w:t>
            </w:r>
          </w:p>
        </w:tc>
        <w:tc>
          <w:tcPr>
            <w:tcW w:w="1026"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-15,7</w:t>
            </w:r>
          </w:p>
        </w:tc>
      </w:tr>
      <w:bookmarkEnd w:id="43"/>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 протяжении 2000-х годов на территории Труновского муниципального округа отмечается постепенное сокращение численности населения. В этот период (с 2002 г.) число жителей сократилось более чем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5,5 тыс. чел. или на 15,7%. Общая тенденция динамики численности населения по территориальным управлениям заключается также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сокращении числа жителей. Если в 2002-2010 гг. прирост наблюдался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2 ТУ (с. Новая Кугульта и с. Подлесное), то в 2010-2021 гг. таковых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осталось. В целом в 2002-2020 гг. отрицательная динамика наблюда</w:t>
      </w:r>
      <w:r w:rsidR="00DA4D48">
        <w:rPr>
          <w:rFonts w:ascii="Times New Roman" w:eastAsia="Times New Roman" w:hAnsi="Times New Roman" w:cs="Times New Roman"/>
          <w:sz w:val="28"/>
          <w:szCs w:val="28"/>
          <w:lang w:eastAsia="ru-RU"/>
        </w:rPr>
        <w:t>е</w:t>
      </w:r>
      <w:r w:rsidRPr="0042058C">
        <w:rPr>
          <w:rFonts w:ascii="Times New Roman" w:eastAsia="Times New Roman" w:hAnsi="Times New Roman" w:cs="Times New Roman"/>
          <w:sz w:val="28"/>
          <w:szCs w:val="28"/>
          <w:lang w:eastAsia="ru-RU"/>
        </w:rPr>
        <w:t xml:space="preserve">тся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во всех территориальных управлениях, что предопределило сокращения числа жителей всего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Центр округа (с. Донское) является самым крупным поселением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пределах своей административной единицы и выполняет роль опорного центра расселения территории, оказывая определяющее влияние на развитие системы сельских населенных мест.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Численность населения в ТУ с. Донское снижается (на 14,2%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сравнению с 2002 г.). Однако, относительно низкие темпы сокращения,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по сравнению с другими населенными пунктами, усиливают концентрацию населения в центре муниципального округа, что приводит к повышению его доли в общей численности населения до 45,1% в 2021 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удельному весу в общей численности населения округа после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ТУ с.</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Донское (34,1%) следуют ТУ с. Безопасное (29,4%), ТУ с. Труновское (19,0%), ТУ пос. им. Кирова (8,2%). Доля остальных территориальных управлений относительно невелика и колеблется в пределах 2,1-5,2%.</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числу сельских населенных пунктов с наибольшей численностью населения (более 5 тыс. чел.) относятся с. Донское, с. Безопасное,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Труновское. Число жителей в сельских поселениях варьирует в пределах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19 до 14927 чел. В одном населенном пункте (х. Егорлык) постоянных жителей нет</w:t>
      </w:r>
      <w:r w:rsidRPr="0042058C">
        <w:rPr>
          <w:rFonts w:ascii="Times New Roman" w:eastAsia="Times New Roman" w:hAnsi="Times New Roman" w:cs="Times New Roman"/>
          <w:sz w:val="28"/>
          <w:szCs w:val="28"/>
          <w:vertAlign w:val="superscript"/>
          <w:lang w:eastAsia="ru-RU"/>
        </w:rPr>
        <w:footnoteReference w:id="25"/>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Наибольшая концентрация населенных пунктов наблюдается вдоль водных объектов, что характерно для степных зон, а также вдоль транспортных магистралей.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Сеть сельских поселений Труновского муниципального округа, с его высоким уровнем освоенности территории, относительно стабильна. Показатель густоты сельского расселения составляет 0,9 поселения / 100 кв. км, что несколько ниже среднекраевого уровня (1,1 поселения / 100 кв. км).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Средняя людность сельских поселений может служить интегральным показателем населенности, заселенности и, при оценке возможностей социального обслуживания населения, одним из критериев условий размещения и функционирования систем учреждений обслуживания.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Средняя людность поселений в Ставропольском крае является одной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из самых высоких в стране (1549,3 чел.). В Труновском муниципальном округе этот показатель значительно выше и составляет 1989,7 чел.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Людность сельских поселений влияет на состояние сферы обслуживания населения. Малые населенные, не обладая или «теряя» объекты социального назначения, утрачивают свою жизнеспособность, вплоть до полного исчезновения.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Группировка сельских населенных пунктов Труновского муниципального округа по численности населения</w:t>
      </w:r>
      <w:r w:rsidRPr="0042058C">
        <w:rPr>
          <w:rFonts w:ascii="Times New Roman" w:eastAsia="Times New Roman" w:hAnsi="Times New Roman" w:cs="Times New Roman"/>
          <w:sz w:val="28"/>
          <w:szCs w:val="28"/>
          <w:vertAlign w:val="superscript"/>
          <w:lang w:eastAsia="ru-RU"/>
        </w:rPr>
        <w:footnoteReference w:id="26"/>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53"/>
        <w:gridCol w:w="5715"/>
      </w:tblGrid>
      <w:tr w:rsidR="0042058C" w:rsidRPr="0042058C" w:rsidTr="0042058C">
        <w:trPr>
          <w:tblHeader/>
        </w:trPr>
        <w:tc>
          <w:tcPr>
            <w:tcW w:w="1982" w:type="pct"/>
            <w:vAlign w:val="center"/>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Категории населенных пунктов</w:t>
            </w:r>
          </w:p>
        </w:tc>
        <w:tc>
          <w:tcPr>
            <w:tcW w:w="3018" w:type="pct"/>
            <w:vAlign w:val="center"/>
            <w:hideMark/>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Населенные пункты</w:t>
            </w:r>
          </w:p>
        </w:tc>
      </w:tr>
      <w:tr w:rsidR="0042058C" w:rsidRPr="0042058C" w:rsidTr="0042058C">
        <w:tc>
          <w:tcPr>
            <w:tcW w:w="1982"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Крупные свыше 5 тыс. чел.</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Безопасное, с. Донское, с. Труновское</w:t>
            </w:r>
          </w:p>
        </w:tc>
      </w:tr>
      <w:tr w:rsidR="0042058C" w:rsidRPr="0042058C" w:rsidTr="0042058C">
        <w:tc>
          <w:tcPr>
            <w:tcW w:w="1982"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Крупные 3–5 тыс. чел.</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c>
          <w:tcPr>
            <w:tcW w:w="1982" w:type="pct"/>
            <w:hideMark/>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Большие 1–3 тыс. чел.</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пос. им. Кирова, с. Подлесное</w:t>
            </w:r>
          </w:p>
        </w:tc>
      </w:tr>
      <w:tr w:rsidR="0042058C" w:rsidRPr="0042058C" w:rsidTr="0042058C">
        <w:tc>
          <w:tcPr>
            <w:tcW w:w="1982" w:type="pct"/>
            <w:hideMark/>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Средние 0,2–1,0 тыс. чел.</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х. Эммануэлевский, х. Невдахин, пос. Нижняя Терновка, пос. Новотерновский, пос. Правоегорлыкский, пос. Сухой Лог, с. Новая Кугульта, с. Ключевское </w:t>
            </w:r>
          </w:p>
        </w:tc>
      </w:tr>
      <w:tr w:rsidR="0042058C" w:rsidRPr="0042058C" w:rsidTr="0042058C">
        <w:tc>
          <w:tcPr>
            <w:tcW w:w="1982" w:type="pct"/>
            <w:hideMark/>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Малые менее 0,2 тыс. чел.</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х. Кофанов</w:t>
            </w:r>
          </w:p>
        </w:tc>
      </w:tr>
      <w:tr w:rsidR="0042058C" w:rsidRPr="0042058C" w:rsidTr="0042058C">
        <w:tc>
          <w:tcPr>
            <w:tcW w:w="1982"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Без населения</w:t>
            </w:r>
          </w:p>
        </w:tc>
        <w:tc>
          <w:tcPr>
            <w:tcW w:w="3018" w:type="pct"/>
          </w:tcPr>
          <w:p w:rsidR="0042058C" w:rsidRPr="0042058C" w:rsidRDefault="0042058C" w:rsidP="0042058C">
            <w:pPr>
              <w:tabs>
                <w:tab w:val="right" w:leader="dot" w:pos="9488"/>
              </w:tabs>
              <w:spacing w:after="0" w:line="240" w:lineRule="auto"/>
              <w:jc w:val="both"/>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х. Егорлык</w:t>
            </w:r>
          </w:p>
        </w:tc>
      </w:tr>
    </w:tbl>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Ставропольского края характерно распространение крупных сельских поселений, в том числе людностью более 5 тыс. чел., значение которых со временем возрастает. Это связано не только с природными условиями в равнинной части (наличием крупных массивов плодородных земель), но и с особенностями военно-казачьей колонизации края, при которой величина поселений зависела от военной и экономической политики государства и сложившегося характера землепользования. В дополнение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к крупным поселениям развивалась система временных поселений и хуторов меньшей людности.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Основные структурные сдвиги связаны с концентрацией населения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крупных по численности сельских населенных пунктах, выполняющих,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первую очередь, административные функции.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Труновском муниципальном округе в 8 населенных пунктах с числом жителей 0,2 – 1,0 тыс. чел., которые составляют 53,3% от общего числа поселений, проживает всего 9,6% сельских жителей. В то же время, три крупных поселения (с. Безопасное, с. Донское, с. Труновское) концентрируют 80,7% населения округа</w:t>
      </w:r>
      <w:r w:rsidRPr="0042058C">
        <w:rPr>
          <w:rFonts w:ascii="Times New Roman" w:eastAsia="Times New Roman" w:hAnsi="Times New Roman" w:cs="Times New Roman"/>
          <w:sz w:val="28"/>
          <w:szCs w:val="28"/>
          <w:vertAlign w:val="superscript"/>
          <w:lang w:eastAsia="ru-RU"/>
        </w:rPr>
        <w:footnoteReference w:id="27"/>
      </w:r>
      <w:r w:rsidRPr="0042058C">
        <w:rPr>
          <w:rFonts w:ascii="Times New Roman" w:eastAsia="Times New Roman" w:hAnsi="Times New Roman" w:cs="Times New Roman"/>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Динамика численности населения, его естественное движение, миграция, особенности структуры являются важными социально-демографическими показателями, которые влияют на экономическое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социальное развитие территории, состояние рынка труда, устойчивость расселения и перспективы развития. Демографические процессы определяют характер воспроизводства населения, оказывают влияние на изменение его численности.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Формирование населения и динамика его численности зависит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соотношения миграционного и естественного прироста. Анализ естественного и миграционного движения выполнен на основе данных Администрации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Естественное движение населения определяет изменение численности через показатели рождаемости, смертности и естественного прироста.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Сравнительные показатели естественного прироста (убыли) населения России, Ставропольского края и Труновского муниципального округа представлены в таблице.</w:t>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Сравнительные показатели естественного движения населения Российской Федерации, Ставропольского края и Труновского муниципального округа в 2015-2020 гг., на 1000 чел</w:t>
      </w:r>
      <w:r w:rsidRPr="0042058C">
        <w:rPr>
          <w:rFonts w:ascii="Times New Roman" w:eastAsia="Times New Roman" w:hAnsi="Times New Roman" w:cs="Times New Roman"/>
          <w:sz w:val="28"/>
          <w:szCs w:val="28"/>
          <w:vertAlign w:val="superscript"/>
          <w:lang w:eastAsia="ru-RU"/>
        </w:rPr>
        <w:footnoteReference w:id="28"/>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7"/>
        <w:gridCol w:w="1072"/>
        <w:gridCol w:w="1070"/>
        <w:gridCol w:w="1070"/>
        <w:gridCol w:w="1070"/>
        <w:gridCol w:w="1070"/>
        <w:gridCol w:w="1070"/>
      </w:tblGrid>
      <w:tr w:rsidR="0042058C" w:rsidRPr="0042058C" w:rsidTr="0042058C">
        <w:trPr>
          <w:cantSplit/>
          <w:trHeight w:val="70"/>
          <w:jc w:val="center"/>
        </w:trPr>
        <w:tc>
          <w:tcPr>
            <w:tcW w:w="1669" w:type="pct"/>
            <w:vAlign w:val="bottom"/>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6"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2015</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2016</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2017</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2018</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2019</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2020</w:t>
            </w:r>
          </w:p>
        </w:tc>
      </w:tr>
      <w:tr w:rsidR="0042058C" w:rsidRPr="0042058C" w:rsidTr="0042058C">
        <w:trPr>
          <w:cantSplit/>
          <w:trHeight w:val="70"/>
          <w:jc w:val="center"/>
        </w:trPr>
        <w:tc>
          <w:tcPr>
            <w:tcW w:w="1669" w:type="pct"/>
            <w:vAlign w:val="bottom"/>
            <w:hideMark/>
          </w:tcPr>
          <w:p w:rsidR="0042058C" w:rsidRPr="0042058C" w:rsidRDefault="0042058C" w:rsidP="0042058C">
            <w:pPr>
              <w:tabs>
                <w:tab w:val="right" w:leader="dot" w:pos="9488"/>
              </w:tabs>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 Российская Федерация</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Родилось</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10,1</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9,8</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Умерло</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12,4</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14,6</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Естественный прирост</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+ 0,3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0,0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- 0,9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- 2,2</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- 4,8</w:t>
            </w:r>
          </w:p>
        </w:tc>
      </w:tr>
      <w:tr w:rsidR="0042058C" w:rsidRPr="0042058C" w:rsidTr="0042058C">
        <w:trPr>
          <w:cantSplit/>
          <w:trHeight w:val="70"/>
          <w:jc w:val="center"/>
        </w:trPr>
        <w:tc>
          <w:tcPr>
            <w:tcW w:w="1669" w:type="pct"/>
            <w:vAlign w:val="bottom"/>
            <w:hideMark/>
          </w:tcPr>
          <w:p w:rsidR="0042058C" w:rsidRPr="0042058C" w:rsidRDefault="0042058C" w:rsidP="0042058C">
            <w:pPr>
              <w:tabs>
                <w:tab w:val="right" w:leader="dot" w:pos="9488"/>
              </w:tabs>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 Ставропольский край</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Родилось</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val="en-US" w:eastAsia="ru-RU"/>
              </w:rPr>
              <w:t>11</w:t>
            </w:r>
            <w:r w:rsidRPr="0042058C">
              <w:rPr>
                <w:rFonts w:ascii="Times New Roman" w:eastAsia="Times New Roman" w:hAnsi="Times New Roman" w:cs="Times New Roman"/>
                <w:sz w:val="20"/>
                <w:szCs w:val="20"/>
                <w:lang w:eastAsia="ru-RU"/>
              </w:rPr>
              <w:t>,0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9,8</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Умерло</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11,7</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11,2</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13,1</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Естественный прирост</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+ 1,4</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+ 0,3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- 0,5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- 1,3</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- 3,3</w:t>
            </w:r>
          </w:p>
        </w:tc>
      </w:tr>
      <w:tr w:rsidR="0042058C" w:rsidRPr="0042058C" w:rsidTr="0042058C">
        <w:trPr>
          <w:cantSplit/>
          <w:trHeight w:val="70"/>
          <w:jc w:val="center"/>
        </w:trPr>
        <w:tc>
          <w:tcPr>
            <w:tcW w:w="1669" w:type="pct"/>
            <w:vAlign w:val="bottom"/>
            <w:hideMark/>
          </w:tcPr>
          <w:p w:rsidR="0042058C" w:rsidRPr="0042058C" w:rsidRDefault="0042058C" w:rsidP="0042058C">
            <w:pPr>
              <w:tabs>
                <w:tab w:val="right" w:leader="dot" w:pos="9488"/>
              </w:tabs>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 Труновский муниципальный округ</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Родилось</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10,8</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9,3</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Умерло</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13,2</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14,4</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14,4</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15,2</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17,9</w:t>
            </w:r>
          </w:p>
        </w:tc>
      </w:tr>
      <w:tr w:rsidR="0042058C" w:rsidRPr="0042058C" w:rsidTr="0042058C">
        <w:trPr>
          <w:cantSplit/>
          <w:trHeight w:val="70"/>
          <w:jc w:val="center"/>
        </w:trPr>
        <w:tc>
          <w:tcPr>
            <w:tcW w:w="1669"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Естественный прирост</w:t>
            </w:r>
          </w:p>
        </w:tc>
        <w:tc>
          <w:tcPr>
            <w:tcW w:w="556"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- 1,9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- 2,4</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- 3,2</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- 4,6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- 8,6</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Российской федерации характерен положительный естественный прирост до 2015 года, который сменяется убылью, начиная с 2017 г., при этом ее показатели постепенно увеличиваются до максимальных значений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2020 г.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Подобный характер динамики прослеживается и на территории Ставропольского края, Своеобразие демографической ситуации состоит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том, что начало естественной убыли приходится на 2018 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Естественный прирост Труновского муниципального округа                         на протяжении последних 6 лет имел отрицательные значения (- 8,6 ‰                  в 2020 г.). Это самые высокие показатели естественной убыли населения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крае, наряду с Ипатовским (- 8,6 ‰) и Петровским (- 9,0 ‰) городскими округами. Обращает на себя внимание превышение смертности над рождаемостью почти в 2 раза периода. Отрицательная динамика естественного прироста населения в дальнейшем влияет на сокращение численности населения.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Отрицательные значения естественной убыли характерны для всех, без исключения, территориальных управлений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Таблица 2</w:t>
      </w:r>
      <w:r w:rsidR="0009125E">
        <w:rPr>
          <w:rFonts w:ascii="Times New Roman" w:eastAsia="Times New Roman" w:hAnsi="Times New Roman" w:cs="Times New Roman"/>
          <w:sz w:val="28"/>
          <w:szCs w:val="28"/>
          <w:lang w:eastAsia="ru-RU"/>
        </w:rPr>
        <w:t>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Естественный прирост населения Труновского муниципального округа в 2020 г., чел., на 1000 чел</w:t>
      </w:r>
      <w:r w:rsidRPr="0042058C">
        <w:rPr>
          <w:rFonts w:ascii="Times New Roman" w:eastAsia="Times New Roman" w:hAnsi="Times New Roman" w:cs="Times New Roman"/>
          <w:sz w:val="28"/>
          <w:szCs w:val="28"/>
          <w:vertAlign w:val="superscript"/>
          <w:lang w:eastAsia="ru-RU"/>
        </w:rPr>
        <w:footnoteReference w:id="29"/>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64"/>
        <w:gridCol w:w="1026"/>
      </w:tblGrid>
      <w:tr w:rsidR="0042058C" w:rsidRPr="0042058C" w:rsidTr="0042058C">
        <w:trPr>
          <w:jc w:val="center"/>
        </w:trPr>
        <w:tc>
          <w:tcPr>
            <w:tcW w:w="3908" w:type="pct"/>
          </w:tcPr>
          <w:p w:rsidR="0042058C" w:rsidRPr="0042058C" w:rsidRDefault="0042058C" w:rsidP="0042058C">
            <w:pPr>
              <w:spacing w:after="0" w:line="240" w:lineRule="auto"/>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Административно-территориальные единицы</w:t>
            </w:r>
          </w:p>
        </w:tc>
        <w:tc>
          <w:tcPr>
            <w:tcW w:w="556" w:type="pct"/>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Чел.</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с. Безопасное</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- 44</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- 7,2</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с. Донское</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- 117</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- 8,7</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пос. Кирова</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- 25</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- 10,3</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с. Новая Кугульта</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- 8</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- 12,6</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с. Подлесное</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- 16</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- 10,3</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ТУ с. Труновское</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- 50</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- 8,8</w:t>
            </w:r>
          </w:p>
        </w:tc>
      </w:tr>
      <w:tr w:rsidR="0042058C" w:rsidRPr="0042058C" w:rsidTr="0042058C">
        <w:trPr>
          <w:jc w:val="center"/>
        </w:trPr>
        <w:tc>
          <w:tcPr>
            <w:tcW w:w="3908"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Труновский муниципальный округ</w:t>
            </w:r>
          </w:p>
        </w:tc>
        <w:tc>
          <w:tcPr>
            <w:tcW w:w="55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- 260</w:t>
            </w:r>
          </w:p>
        </w:tc>
        <w:tc>
          <w:tcPr>
            <w:tcW w:w="536"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- 8,6</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Рождаемость. На современное состояние демографической структуры населения Труновского муниципального округа оказывают влияние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только процессы, происходящие в настоящее время, но имевшие место несколько десятилетий назад, что порождает всплески или спады рождаемости.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настоящее время показатели рождаемости ниже, чем требуется для замещения поколений: в среднем на одну женщину в Ставропольском крае приходится 1,43 рождений (суммарный коэффициент рождаемости в 2020 г.) при показателе 2,15, необходимого для простого воспроизводства населения. Такой уровень обеспечивает замену поколений только на 66,5%.</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Из общего числа рождений в 2020 г. на рождение первенцев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Труновском муниципальном округе приходится 37,5%, второго ребенка – 27,9%. В среднем по Ставропольскому краю эти показатели составляют, соответственно 35,3 и 35,0%. Положительной следует считать тенденцию увеличение доли детей в округе, рожденными четвертыми и более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по очередности. Их удельный вес превышает среднекраевой уровень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8,6%</w:t>
      </w:r>
      <w:r w:rsidRPr="0042058C">
        <w:rPr>
          <w:rFonts w:ascii="Times New Roman" w:eastAsia="Times New Roman" w:hAnsi="Times New Roman" w:cs="Times New Roman"/>
          <w:sz w:val="28"/>
          <w:szCs w:val="28"/>
          <w:vertAlign w:val="superscript"/>
          <w:lang w:eastAsia="ru-RU"/>
        </w:rPr>
        <w:footnoteReference w:id="30"/>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Показатели рождаемости тесно коррелируют с показателями брачности и разводимости.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28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Сравнительные показатели брачности и разводимости населения Российской Федерации, Ставропольского края и Труновского муниципального округа в 2015-2020 гг., на 1000 чел</w:t>
      </w:r>
      <w:r w:rsidRPr="0042058C">
        <w:rPr>
          <w:rFonts w:ascii="Times New Roman" w:eastAsia="Times New Roman" w:hAnsi="Times New Roman" w:cs="Times New Roman"/>
          <w:sz w:val="28"/>
          <w:szCs w:val="28"/>
          <w:vertAlign w:val="superscript"/>
          <w:lang w:eastAsia="ru-RU"/>
        </w:rPr>
        <w:footnoteReference w:id="31"/>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9"/>
        <w:gridCol w:w="1070"/>
        <w:gridCol w:w="1070"/>
        <w:gridCol w:w="1070"/>
        <w:gridCol w:w="1070"/>
        <w:gridCol w:w="1070"/>
        <w:gridCol w:w="1070"/>
      </w:tblGrid>
      <w:tr w:rsidR="0042058C" w:rsidRPr="0042058C" w:rsidTr="0042058C">
        <w:trPr>
          <w:cantSplit/>
          <w:trHeight w:val="70"/>
          <w:jc w:val="center"/>
        </w:trPr>
        <w:tc>
          <w:tcPr>
            <w:tcW w:w="1670" w:type="pct"/>
            <w:vAlign w:val="bottom"/>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2015</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2016</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2017</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2018</w:t>
            </w:r>
          </w:p>
        </w:tc>
        <w:tc>
          <w:tcPr>
            <w:tcW w:w="555" w:type="pct"/>
            <w:hideMark/>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2019</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2020</w:t>
            </w:r>
          </w:p>
        </w:tc>
      </w:tr>
      <w:tr w:rsidR="0042058C" w:rsidRPr="0042058C" w:rsidTr="0042058C">
        <w:trPr>
          <w:cantSplit/>
          <w:trHeight w:val="70"/>
          <w:jc w:val="center"/>
        </w:trPr>
        <w:tc>
          <w:tcPr>
            <w:tcW w:w="1670" w:type="pct"/>
            <w:vAlign w:val="bottom"/>
          </w:tcPr>
          <w:p w:rsidR="0042058C" w:rsidRPr="0042058C" w:rsidRDefault="0042058C" w:rsidP="0042058C">
            <w:pPr>
              <w:widowControl w:val="0"/>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Российская Федерация</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p>
        </w:tc>
      </w:tr>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Браки</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7,9</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6,7</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6,1</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6,1</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6,5</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5,3</w:t>
            </w:r>
          </w:p>
        </w:tc>
      </w:tr>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Разводы</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4,2</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4,1</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4,2</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4,0</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4,2</w:t>
            </w:r>
          </w:p>
        </w:tc>
        <w:tc>
          <w:tcPr>
            <w:tcW w:w="555" w:type="pct"/>
          </w:tcPr>
          <w:p w:rsidR="0042058C" w:rsidRPr="0042058C" w:rsidRDefault="0042058C" w:rsidP="0042058C">
            <w:pPr>
              <w:widowControl w:val="0"/>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3,9</w:t>
            </w:r>
          </w:p>
        </w:tc>
      </w:tr>
      <w:tr w:rsidR="0042058C" w:rsidRPr="0042058C" w:rsidTr="0042058C">
        <w:trPr>
          <w:cantSplit/>
          <w:trHeight w:val="70"/>
          <w:jc w:val="center"/>
        </w:trPr>
        <w:tc>
          <w:tcPr>
            <w:tcW w:w="1670" w:type="pct"/>
            <w:vAlign w:val="bottom"/>
            <w:hideMark/>
          </w:tcPr>
          <w:p w:rsidR="0042058C" w:rsidRPr="0042058C" w:rsidRDefault="0042058C" w:rsidP="0042058C">
            <w:pPr>
              <w:tabs>
                <w:tab w:val="right" w:leader="dot" w:pos="9488"/>
              </w:tabs>
              <w:spacing w:after="0" w:line="240" w:lineRule="auto"/>
              <w:rPr>
                <w:rFonts w:ascii="Times New Roman" w:eastAsia="Times New Roman" w:hAnsi="Times New Roman" w:cs="Times New Roman"/>
                <w:bCs/>
                <w:sz w:val="20"/>
                <w:szCs w:val="20"/>
                <w:lang w:eastAsia="ru-RU"/>
              </w:rPr>
            </w:pPr>
            <w:bookmarkStart w:id="44" w:name="_Hlk48056614"/>
            <w:r w:rsidRPr="0042058C">
              <w:rPr>
                <w:rFonts w:ascii="Times New Roman" w:eastAsia="Times New Roman" w:hAnsi="Times New Roman" w:cs="Times New Roman"/>
                <w:bCs/>
                <w:sz w:val="20"/>
                <w:szCs w:val="20"/>
                <w:lang w:eastAsia="ru-RU"/>
              </w:rPr>
              <w:t xml:space="preserve"> Ставропольский край</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r>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Браки</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6,7</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5,7</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4,5</w:t>
            </w:r>
          </w:p>
        </w:tc>
      </w:tr>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Разводы</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3,9</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3,8</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3,7</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3,8</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3,7</w:t>
            </w:r>
          </w:p>
        </w:tc>
      </w:tr>
      <w:tr w:rsidR="0042058C" w:rsidRPr="0042058C" w:rsidTr="0042058C">
        <w:trPr>
          <w:cantSplit/>
          <w:trHeight w:val="70"/>
          <w:jc w:val="center"/>
        </w:trPr>
        <w:tc>
          <w:tcPr>
            <w:tcW w:w="1670" w:type="pct"/>
            <w:vAlign w:val="bottom"/>
            <w:hideMark/>
          </w:tcPr>
          <w:p w:rsidR="0042058C" w:rsidRPr="0042058C" w:rsidRDefault="0042058C" w:rsidP="0042058C">
            <w:pPr>
              <w:tabs>
                <w:tab w:val="right" w:leader="dot" w:pos="9488"/>
              </w:tabs>
              <w:spacing w:after="0" w:line="240" w:lineRule="auto"/>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 xml:space="preserve"> Труновский муниципальный округ</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bCs/>
                <w:sz w:val="20"/>
                <w:szCs w:val="20"/>
                <w:lang w:eastAsia="ru-RU"/>
              </w:rPr>
            </w:pPr>
          </w:p>
        </w:tc>
      </w:tr>
      <w:bookmarkEnd w:id="44"/>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Браки</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7,1</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6,1</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6,6</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5,5</w:t>
            </w:r>
          </w:p>
        </w:tc>
      </w:tr>
      <w:tr w:rsidR="0042058C" w:rsidRPr="0042058C" w:rsidTr="0042058C">
        <w:trPr>
          <w:cantSplit/>
          <w:trHeight w:val="70"/>
          <w:jc w:val="center"/>
        </w:trPr>
        <w:tc>
          <w:tcPr>
            <w:tcW w:w="1670" w:type="pct"/>
            <w:vAlign w:val="bottom"/>
          </w:tcPr>
          <w:p w:rsidR="0042058C" w:rsidRPr="0042058C" w:rsidRDefault="0042058C" w:rsidP="0042058C">
            <w:pPr>
              <w:tabs>
                <w:tab w:val="right" w:leader="dot" w:pos="9488"/>
              </w:tabs>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Разводы</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4,5</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4,1</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4,0</w:t>
            </w:r>
          </w:p>
        </w:tc>
        <w:tc>
          <w:tcPr>
            <w:tcW w:w="555" w:type="pct"/>
          </w:tcPr>
          <w:p w:rsidR="0042058C" w:rsidRPr="0042058C" w:rsidRDefault="0042058C" w:rsidP="0042058C">
            <w:pPr>
              <w:tabs>
                <w:tab w:val="right" w:leader="dot" w:pos="9488"/>
              </w:tabs>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3,6</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течение рассматриваемого периода число браков на территории муниципального округа находилось на уровне 5,5-7,5 пар на 1000 чел. населения (что несколько выше среднекраевого уровня и на уровне среднероссийского), число разводов колеблется в пределах 3,5-4,5 пар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1000 чел. населения. Положительной тенденцией следует считать относительное стабильное число разводов, на уровне средних значений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по Ставропольскому краю.</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Смертность. Коэффициент смертности населения на территории Труновского муниципального округа в 2015-2020 гг. колебался в пределах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13,2 в 2015 г. до 17,9 в 2020 г. на 1000 чел. населения (таблица). Обращает на себя внимание резкое повышение смертности в последние два года. При этом, эти показатели превышают среднероссийский и среднекраевой уровень.</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Миграция. Территория округа считается одной из самых благоприятных для жизни в пределах Ставропольского края. Она отличается благоприятными почвенно-климатическими ресурсами для развития сельского хозяйства, относительно благополучной социально-экономической ситуацией, относительно высоким уровнем жизни, перспективами для развития бизнеса. В связи с этим в течение длительного времени в округе отмечался миграционный приток. Однако в последние годы знак динамики изменился на противоположный.</w:t>
      </w:r>
    </w:p>
    <w:p w:rsidR="0042058C" w:rsidRPr="0042058C" w:rsidRDefault="0009125E"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Сравнительная характеристика миграции населения Российской Федерации, Ставропольского края и Труновского муниципального округа в 2020 г., на 1000 чел</w:t>
      </w:r>
      <w:r w:rsidRPr="0042058C">
        <w:rPr>
          <w:rFonts w:ascii="Times New Roman" w:eastAsia="Times New Roman" w:hAnsi="Times New Roman" w:cs="Times New Roman"/>
          <w:sz w:val="28"/>
          <w:szCs w:val="28"/>
          <w:vertAlign w:val="superscript"/>
          <w:lang w:eastAsia="ru-RU"/>
        </w:rPr>
        <w:footnoteReference w:id="32"/>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179"/>
        <w:gridCol w:w="2126"/>
        <w:gridCol w:w="2178"/>
      </w:tblGrid>
      <w:tr w:rsidR="0042058C" w:rsidRPr="0042058C" w:rsidTr="0042058C">
        <w:trPr>
          <w:jc w:val="center"/>
        </w:trPr>
        <w:tc>
          <w:tcPr>
            <w:tcW w:w="2695" w:type="dxa"/>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tc>
        <w:tc>
          <w:tcPr>
            <w:tcW w:w="2179"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Прибыло</w:t>
            </w:r>
          </w:p>
        </w:tc>
        <w:tc>
          <w:tcPr>
            <w:tcW w:w="2126"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Выбыло</w:t>
            </w:r>
          </w:p>
        </w:tc>
        <w:tc>
          <w:tcPr>
            <w:tcW w:w="2178"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Миграционный прирост</w:t>
            </w:r>
          </w:p>
        </w:tc>
      </w:tr>
      <w:tr w:rsidR="0042058C" w:rsidRPr="0042058C" w:rsidTr="0042058C">
        <w:trPr>
          <w:jc w:val="center"/>
        </w:trPr>
        <w:tc>
          <w:tcPr>
            <w:tcW w:w="2695"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Российская Федерация</w:t>
            </w:r>
          </w:p>
        </w:tc>
        <w:tc>
          <w:tcPr>
            <w:tcW w:w="2179"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28,1</w:t>
            </w:r>
          </w:p>
        </w:tc>
        <w:tc>
          <w:tcPr>
            <w:tcW w:w="21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27,4</w:t>
            </w:r>
          </w:p>
        </w:tc>
        <w:tc>
          <w:tcPr>
            <w:tcW w:w="2178"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0,7</w:t>
            </w:r>
          </w:p>
        </w:tc>
      </w:tr>
      <w:tr w:rsidR="0042058C" w:rsidRPr="0042058C" w:rsidTr="0042058C">
        <w:trPr>
          <w:jc w:val="center"/>
        </w:trPr>
        <w:tc>
          <w:tcPr>
            <w:tcW w:w="2695"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Ставропольский край</w:t>
            </w:r>
          </w:p>
        </w:tc>
        <w:tc>
          <w:tcPr>
            <w:tcW w:w="2179"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28,0</w:t>
            </w:r>
          </w:p>
        </w:tc>
        <w:tc>
          <w:tcPr>
            <w:tcW w:w="21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28,4</w:t>
            </w:r>
          </w:p>
        </w:tc>
        <w:tc>
          <w:tcPr>
            <w:tcW w:w="2178"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- 0,4</w:t>
            </w:r>
          </w:p>
        </w:tc>
      </w:tr>
      <w:tr w:rsidR="0042058C" w:rsidRPr="0042058C" w:rsidTr="0042058C">
        <w:trPr>
          <w:jc w:val="center"/>
        </w:trPr>
        <w:tc>
          <w:tcPr>
            <w:tcW w:w="2695"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Труновский муниципальный округ</w:t>
            </w:r>
          </w:p>
        </w:tc>
        <w:tc>
          <w:tcPr>
            <w:tcW w:w="2179"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17,9</w:t>
            </w:r>
          </w:p>
        </w:tc>
        <w:tc>
          <w:tcPr>
            <w:tcW w:w="21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29,2</w:t>
            </w:r>
          </w:p>
        </w:tc>
        <w:tc>
          <w:tcPr>
            <w:tcW w:w="2178"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- 11,3</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Коэффициент прибывших на территорию Труновского муниципального округа составляет 17,9 чел. на 1000 жителей, что значительно ниже средних показателей по стране и краю. Показатели выбывших, наоборот, незначительно превосходят аналогичные по России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Ставрополью. В отличие от территории Российской Федерации в пределах округа наблюдается миграционная убыль населений, что свидетельствует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о снижении его привлекательности для мигрантов и местных жителей. Решающую роль в миграционном оттоке играют недостаточное развитие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населенных пунктах района сферы обслуживания, а также высокая безработица и низкий уровень заработной платы.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Таблица </w:t>
      </w:r>
      <w:r w:rsidR="0009125E">
        <w:rPr>
          <w:rFonts w:ascii="Times New Roman" w:eastAsia="Times New Roman" w:hAnsi="Times New Roman" w:cs="Times New Roman"/>
          <w:sz w:val="28"/>
          <w:szCs w:val="28"/>
          <w:lang w:eastAsia="ru-RU"/>
        </w:rPr>
        <w:t>30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Миграция населения Труновского муниципального округа в 2020 г., чел., на 1000 чел</w:t>
      </w:r>
      <w:r w:rsidRPr="0042058C">
        <w:rPr>
          <w:rFonts w:ascii="Times New Roman" w:eastAsia="Times New Roman" w:hAnsi="Times New Roman" w:cs="Times New Roman"/>
          <w:sz w:val="28"/>
          <w:szCs w:val="28"/>
          <w:vertAlign w:val="superscript"/>
          <w:lang w:eastAsia="ru-RU"/>
        </w:rPr>
        <w:footnoteReference w:id="33"/>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71"/>
        <w:gridCol w:w="1099"/>
        <w:gridCol w:w="1074"/>
        <w:gridCol w:w="1055"/>
        <w:gridCol w:w="1030"/>
        <w:gridCol w:w="1026"/>
        <w:gridCol w:w="52"/>
      </w:tblGrid>
      <w:tr w:rsidR="0042058C" w:rsidRPr="0042058C" w:rsidTr="0042058C">
        <w:trPr>
          <w:jc w:val="center"/>
        </w:trPr>
        <w:tc>
          <w:tcPr>
            <w:tcW w:w="1601" w:type="pct"/>
            <w:vMerge w:val="restar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Территориальные</w:t>
            </w: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управления</w:t>
            </w:r>
          </w:p>
        </w:tc>
        <w:tc>
          <w:tcPr>
            <w:tcW w:w="1186" w:type="pct"/>
            <w:gridSpan w:val="2"/>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Прибывшие</w:t>
            </w:r>
          </w:p>
        </w:tc>
        <w:tc>
          <w:tcPr>
            <w:tcW w:w="1112" w:type="pct"/>
            <w:gridSpan w:val="2"/>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Выбывшие</w:t>
            </w:r>
          </w:p>
        </w:tc>
        <w:tc>
          <w:tcPr>
            <w:tcW w:w="1102" w:type="pct"/>
            <w:gridSpan w:val="3"/>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Прирост</w:t>
            </w:r>
          </w:p>
        </w:tc>
      </w:tr>
      <w:tr w:rsidR="0042058C" w:rsidRPr="0042058C" w:rsidTr="0042058C">
        <w:trPr>
          <w:gridAfter w:val="1"/>
          <w:wAfter w:w="27" w:type="pct"/>
          <w:trHeight w:val="314"/>
          <w:jc w:val="center"/>
        </w:trPr>
        <w:tc>
          <w:tcPr>
            <w:tcW w:w="1601" w:type="pct"/>
            <w:vMerge/>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bookmarkStart w:id="45" w:name="_Hlk47602932"/>
          </w:p>
        </w:tc>
        <w:tc>
          <w:tcPr>
            <w:tcW w:w="612"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чел.</w:t>
            </w:r>
          </w:p>
        </w:tc>
        <w:tc>
          <w:tcPr>
            <w:tcW w:w="573"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w:t>
            </w:r>
          </w:p>
        </w:tc>
        <w:tc>
          <w:tcPr>
            <w:tcW w:w="561"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чел.</w:t>
            </w:r>
          </w:p>
        </w:tc>
        <w:tc>
          <w:tcPr>
            <w:tcW w:w="551"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w:t>
            </w:r>
          </w:p>
        </w:tc>
        <w:tc>
          <w:tcPr>
            <w:tcW w:w="538"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чел.</w:t>
            </w:r>
          </w:p>
        </w:tc>
        <w:tc>
          <w:tcPr>
            <w:tcW w:w="536" w:type="pct"/>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w:t>
            </w:r>
          </w:p>
        </w:tc>
      </w:tr>
      <w:bookmarkEnd w:id="45"/>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с. Безопасное</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113</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18,3</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164</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26,6</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- 51</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- 8,3</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с. Донское</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225</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16,4</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362</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26,3</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- 137</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- 9,9</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пос. им. Кирова</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24</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9,5</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96</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38,1</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- 72</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- 28,6</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с. Новая Кугульта</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8</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12,3</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13</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20,0</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- 5</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- 7,7</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с. Подлесное</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33</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21,0</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40</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25,4</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- 7</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- 4,4</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ТУ с. Труновское</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130</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22,4</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196</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33,8</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- 66</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- 11,4</w:t>
            </w:r>
          </w:p>
        </w:tc>
      </w:tr>
      <w:tr w:rsidR="0042058C" w:rsidRPr="0042058C" w:rsidTr="0042058C">
        <w:trPr>
          <w:jc w:val="center"/>
        </w:trPr>
        <w:tc>
          <w:tcPr>
            <w:tcW w:w="1601" w:type="pct"/>
          </w:tcPr>
          <w:p w:rsidR="0042058C" w:rsidRPr="0042058C" w:rsidRDefault="0042058C" w:rsidP="0042058C">
            <w:pPr>
              <w:spacing w:after="0" w:line="240" w:lineRule="auto"/>
              <w:jc w:val="both"/>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Всего по округу</w:t>
            </w:r>
          </w:p>
        </w:tc>
        <w:tc>
          <w:tcPr>
            <w:tcW w:w="612"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533</w:t>
            </w:r>
          </w:p>
        </w:tc>
        <w:tc>
          <w:tcPr>
            <w:tcW w:w="573"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17,9</w:t>
            </w:r>
          </w:p>
        </w:tc>
        <w:tc>
          <w:tcPr>
            <w:tcW w:w="561"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871</w:t>
            </w:r>
          </w:p>
        </w:tc>
        <w:tc>
          <w:tcPr>
            <w:tcW w:w="551"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29,2</w:t>
            </w:r>
          </w:p>
        </w:tc>
        <w:tc>
          <w:tcPr>
            <w:tcW w:w="538" w:type="pct"/>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- 338</w:t>
            </w:r>
          </w:p>
        </w:tc>
        <w:tc>
          <w:tcPr>
            <w:tcW w:w="564" w:type="pct"/>
            <w:gridSpan w:val="2"/>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rPr>
              <w:t>- 11,3</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Миграционный прирост в Труновском муниципальном округе характеризуется отрицательными значениями. Коэффициент миграционной убыли в 2020 г. составил -11,3 на 1000 чел. населения.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2020 г. в округ прибыло 533 чел., внутрикраевая миграция составила 34,5%, из других регионов страны прибыло 28,9%. Привлекателен регион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для иностранных граждан, доля которых составляет 36,6% (в основном прибывают из стран СНГ). Среди выбывших на долю внутрикраевой миграции приходится 55,5%, других регионов России – 31,3%, заграницы – 13,2%. Из всех территорий Труновский муниципальный округ имеет положительный миграционный баланс только с зарубежными странами                 (+ 80 чел.)</w:t>
      </w:r>
      <w:r w:rsidRPr="0042058C">
        <w:rPr>
          <w:rFonts w:ascii="Times New Roman" w:eastAsia="Times New Roman" w:hAnsi="Times New Roman" w:cs="Times New Roman"/>
          <w:sz w:val="28"/>
          <w:szCs w:val="28"/>
          <w:vertAlign w:val="superscript"/>
          <w:lang w:eastAsia="ru-RU"/>
        </w:rPr>
        <w:footnoteReference w:id="34"/>
      </w:r>
      <w:r w:rsidRPr="0042058C">
        <w:rPr>
          <w:rFonts w:ascii="Times New Roman" w:eastAsia="Times New Roman" w:hAnsi="Times New Roman" w:cs="Times New Roman"/>
          <w:sz w:val="28"/>
          <w:szCs w:val="28"/>
          <w:lang w:eastAsia="ru-RU"/>
        </w:rPr>
        <w:t>.</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Немногим более 40% оттока приходится на центр округа – территориальное управление с. Донское. В 2020 г. для всех ТУ был характерен миграционная убыль населения.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Решающую роль в миграционном оттоке играют недостаточное развитие в населенных пунктах района сферы обслуживания, а также высокая безработица и низкий уровень заработной платы.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Анализ естественного и миграционного движения населения позволяет говорить о сложившимся негативном, как естественном, так и миграционном движении населения. При увеличении рождаемости и снижении смертности возможна некоторая стабилизация численности. Однако без стимулирования миграционного прироста населения переломить тенденции снижения общей численности населения невозможно.</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Основным инструментом улучшения демографической ситуации могут стать меры, принимаемые руководством округа по созданию новых рабочих мест для молодежи и прибывших граждан.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Половозрастная структура. Показатели удельного веса возрастных групп в общей численности населения по Труновскому муниципальному округу сходны со средними значениями по Ставропольскому краю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Российской Федерацией в целом.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09125E"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Сравнительная возрастная структура населения Российской Федерации, Ставропольского края и Труновского муниципального округа в 2020 г.,                 на 1000 чел</w:t>
      </w:r>
      <w:r w:rsidRPr="0042058C">
        <w:rPr>
          <w:rFonts w:ascii="Times New Roman" w:eastAsia="Times New Roman" w:hAnsi="Times New Roman" w:cs="Times New Roman"/>
          <w:sz w:val="28"/>
          <w:szCs w:val="28"/>
          <w:vertAlign w:val="superscript"/>
          <w:lang w:eastAsia="ru-RU"/>
        </w:rPr>
        <w:footnoteReference w:id="35"/>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843"/>
        <w:gridCol w:w="1843"/>
        <w:gridCol w:w="1842"/>
        <w:gridCol w:w="1426"/>
      </w:tblGrid>
      <w:tr w:rsidR="0042058C" w:rsidRPr="0042058C" w:rsidTr="0042058C">
        <w:trPr>
          <w:jc w:val="center"/>
        </w:trPr>
        <w:tc>
          <w:tcPr>
            <w:tcW w:w="2419" w:type="dxa"/>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lang w:eastAsia="ru-RU"/>
              </w:rPr>
              <w:t>Моложе трудо-способного возраста</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bCs/>
                <w:sz w:val="20"/>
                <w:szCs w:val="20"/>
              </w:rPr>
            </w:pPr>
            <w:r w:rsidRPr="0042058C">
              <w:rPr>
                <w:rFonts w:ascii="Times New Roman" w:eastAsia="Times New Roman" w:hAnsi="Times New Roman" w:cs="Times New Roman"/>
                <w:bCs/>
                <w:sz w:val="20"/>
                <w:szCs w:val="20"/>
                <w:lang w:eastAsia="ru-RU"/>
              </w:rPr>
              <w:t>Трудо-способного возраста</w:t>
            </w:r>
          </w:p>
        </w:tc>
        <w:tc>
          <w:tcPr>
            <w:tcW w:w="1842"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Старше трудо-способного возраста</w:t>
            </w:r>
          </w:p>
        </w:tc>
        <w:tc>
          <w:tcPr>
            <w:tcW w:w="1426" w:type="dxa"/>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p>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r w:rsidRPr="0042058C">
              <w:rPr>
                <w:rFonts w:ascii="Times New Roman" w:eastAsia="Times New Roman" w:hAnsi="Times New Roman" w:cs="Times New Roman"/>
                <w:bCs/>
                <w:sz w:val="20"/>
                <w:szCs w:val="20"/>
                <w:lang w:eastAsia="ru-RU"/>
              </w:rPr>
              <w:t>Всего</w:t>
            </w:r>
          </w:p>
        </w:tc>
      </w:tr>
      <w:tr w:rsidR="0042058C" w:rsidRPr="0042058C" w:rsidTr="0042058C">
        <w:trPr>
          <w:jc w:val="center"/>
        </w:trPr>
        <w:tc>
          <w:tcPr>
            <w:tcW w:w="2419"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Российская Федерация</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18,7</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56,3</w:t>
            </w:r>
          </w:p>
        </w:tc>
        <w:tc>
          <w:tcPr>
            <w:tcW w:w="1842"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25,0</w:t>
            </w:r>
          </w:p>
        </w:tc>
        <w:tc>
          <w:tcPr>
            <w:tcW w:w="14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100,0</w:t>
            </w:r>
          </w:p>
        </w:tc>
      </w:tr>
      <w:tr w:rsidR="0042058C" w:rsidRPr="0042058C" w:rsidTr="0042058C">
        <w:trPr>
          <w:jc w:val="center"/>
        </w:trPr>
        <w:tc>
          <w:tcPr>
            <w:tcW w:w="2419"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xml:space="preserve">Ставропольский </w:t>
            </w:r>
          </w:p>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край</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17,8</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57,3</w:t>
            </w:r>
          </w:p>
        </w:tc>
        <w:tc>
          <w:tcPr>
            <w:tcW w:w="1842"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24,9</w:t>
            </w:r>
          </w:p>
        </w:tc>
        <w:tc>
          <w:tcPr>
            <w:tcW w:w="14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100,0</w:t>
            </w:r>
          </w:p>
        </w:tc>
      </w:tr>
      <w:tr w:rsidR="0042058C" w:rsidRPr="0042058C" w:rsidTr="0042058C">
        <w:trPr>
          <w:jc w:val="center"/>
        </w:trPr>
        <w:tc>
          <w:tcPr>
            <w:tcW w:w="2419" w:type="dxa"/>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Труновский муниципальный округ</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18,6</w:t>
            </w:r>
          </w:p>
        </w:tc>
        <w:tc>
          <w:tcPr>
            <w:tcW w:w="1843"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52,9</w:t>
            </w:r>
          </w:p>
        </w:tc>
        <w:tc>
          <w:tcPr>
            <w:tcW w:w="1842"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 xml:space="preserve">28,5 </w:t>
            </w:r>
          </w:p>
        </w:tc>
        <w:tc>
          <w:tcPr>
            <w:tcW w:w="1426" w:type="dxa"/>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100,0</w:t>
            </w:r>
          </w:p>
        </w:tc>
      </w:tr>
    </w:tbl>
    <w:p w:rsidR="00DA4D48" w:rsidRDefault="00DA4D48"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Вместе с тем, возрастная структура Труновского муниципального округа, по сравнению с показателями Российской Федерации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Ставропольского края, отличается пониженным удельным весом лиц трудоспособного и повышенным – старше трудоспособного возраста. Пенсионеры составляют в округе 28,5% от числа всех жителей, что характеризует высокий уровень демографической старости и формирует регрессивный тип возрастной структуры населения.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Указанные тенденции определяют высокую демографическую нагрузку (число лиц нетрудоспособных возрастов на 1000 чел. трудоспособного возраста). В 2020 г. на территории округа этот показатель составлял                     890,2 чел.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распределении полов отмечается незначительная диспропорция,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1 мужчину в муниципальном округе приходится 1,11 женщин, что несколько ниже среднероссийского и среднекраевого показателя (соответственно 1,15 и 1,14).</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Труновский муниципальный округ является многонациональным,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его территории проживают представители более 40 народов. По данным Всероссийской переписи населения 2010 г. большую часть населения составляют русские (82,9% от общей численности). К другим, наиболее представленным этносам, относятся армяне (5,1%), езиды (2,1%), цыгане (1,5%), чеченцы (1,2%), лезгины (1,2%). Доля представителей остальных национальностей составляет менее 1%</w:t>
      </w:r>
      <w:r w:rsidRPr="0042058C">
        <w:rPr>
          <w:rFonts w:ascii="Times New Roman" w:eastAsia="Times New Roman" w:hAnsi="Times New Roman" w:cs="Times New Roman"/>
          <w:sz w:val="28"/>
          <w:szCs w:val="28"/>
          <w:vertAlign w:val="superscript"/>
          <w:lang w:eastAsia="ru-RU"/>
        </w:rPr>
        <w:footnoteReference w:id="36"/>
      </w:r>
      <w:r w:rsidRPr="0042058C">
        <w:rPr>
          <w:rFonts w:ascii="Times New Roman" w:eastAsia="Times New Roman" w:hAnsi="Times New Roman" w:cs="Times New Roman"/>
          <w:sz w:val="28"/>
          <w:szCs w:val="28"/>
          <w:lang w:eastAsia="ru-RU"/>
        </w:rPr>
        <w:t xml:space="preserve"> .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целом, демографическая ситуация в Труновском муниципальном округе характеризуется как неблагоприятная. В перспективе усиливаются негативные тенденции. Для динамики численности населения округа и всех территориальных управлений характерны отрицательные значения.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 территории наблюдается увеличение естественной убыли населения, которая связана, в первую очередь, с сокращением рождаемости до минимальных значений в настоящее время. Миграционная убыль населения наряду с естественной влияет на сокращение общей численности.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Брачная структура населения отличается снижением обоих показателей, при этом стабилизация числа разводов следует считать положительным явлением.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Особенности возрастной структуры связаны с увеличением доли лиц старше трудоспособного возраста и сокращением доли трудоспособного. Высока нагрузка на трудоспособное население.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Незначительны диспропорции в соотношении мужского и женского населения.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пределах Труновского муниципального округа проживают представители нескольких десятков национальностей, русские составляют абсолютное большинство.</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Округ имеет благоприятные предпосылки для социально-экономического развития территории и улучшения демографической ситуации.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8. Состояние социально-экономического развития Труновского муниципального округа, инвестиционная и бюджетно-налоговая политика являются основополагающими факторами выхода округа на траекторию устойчивого роста. В разделе рассмотрены бюджетно-налоговая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инвестиционная политика, ключевые отрасли муниципального округа, дана оценка эффективности их функционирования, перспективы их развития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учетом имеющегося потенциала и возможностей, а также существующих проблем и рисков.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1</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Отраслевая специализация. Роль муниципального округа                       в экономической структуре региона.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Площадь Труновского муниципального округа составляет 1686 </w:t>
      </w:r>
      <w:r w:rsidR="00DA4D48">
        <w:rPr>
          <w:rFonts w:ascii="Times New Roman" w:eastAsia="Times New Roman" w:hAnsi="Times New Roman" w:cs="Times New Roman"/>
          <w:sz w:val="28"/>
          <w:szCs w:val="28"/>
          <w:lang w:eastAsia="ru-RU"/>
        </w:rPr>
        <w:t xml:space="preserve">кв. </w:t>
      </w:r>
      <w:r w:rsidRPr="0042058C">
        <w:rPr>
          <w:rFonts w:ascii="Times New Roman" w:eastAsia="Times New Roman" w:hAnsi="Times New Roman" w:cs="Times New Roman"/>
          <w:sz w:val="28"/>
          <w:szCs w:val="28"/>
          <w:lang w:eastAsia="ru-RU"/>
        </w:rPr>
        <w:t xml:space="preserve">км, что составляет 2,5 % площади Ставропольского края, из них 88,5 % относится к сельхозугодиям. На долю округа приходится 1,1 % численности населения Ставропольского края. Доля трудоспособного населения округа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общей численности трудоспособного населения края за последние два года оставалась стабильной – на уровне 1,3%. В структуре экономики, также как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в Ставропольском крае, ведущая роль принадлежит следующим отраслям: сельское хозяйство, менее развита промышленность, строительство и сфера услуг.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Удельный вес сельского хозяйства Труновского муниципального округа в экономике края в 2019 г. составил 3,2% и имеет тенденцию незначительного роста, за исследуемый период снизилась доля обрабатывающей промышленности, оборот розничной торговли и платных услуг населению оставался в 2019 г. на стабильно относительно низком уровне. Негативной является тенденция снижения доли Труновского муниципального округа в общекраевых объемах инвестиций (рисунок).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14:anchorId="6F5C224B" wp14:editId="3C9C8D2F">
            <wp:extent cx="5443855" cy="1848485"/>
            <wp:effectExtent l="0" t="0" r="4445"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Рисунок 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Роль Труновского муниципального округа в социально-экономическом развитии Ставропольского края в 2018-2019 гг., %</w:t>
      </w:r>
      <w:r w:rsidRPr="0042058C">
        <w:rPr>
          <w:rFonts w:ascii="Times New Roman" w:eastAsia="Times New Roman" w:hAnsi="Times New Roman" w:cs="Times New Roman"/>
          <w:sz w:val="28"/>
          <w:szCs w:val="28"/>
          <w:vertAlign w:val="superscript"/>
          <w:lang w:eastAsia="ru-RU"/>
        </w:rPr>
        <w:footnoteReference w:id="37"/>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14:anchorId="5CE11A2A" wp14:editId="42B5B225">
            <wp:extent cx="5782310" cy="2339340"/>
            <wp:effectExtent l="0" t="0" r="889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058C" w:rsidRPr="0042058C" w:rsidRDefault="0042058C" w:rsidP="00BA53A8">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Рисунок 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Структура занятости и фонда оплаты труда (ФОТ) в Труновском муниципальном округе в 2019 г., %</w:t>
      </w:r>
      <w:r w:rsidRPr="0042058C">
        <w:rPr>
          <w:rFonts w:ascii="Times New Roman" w:eastAsia="Times New Roman" w:hAnsi="Times New Roman" w:cs="Times New Roman"/>
          <w:sz w:val="28"/>
          <w:szCs w:val="28"/>
          <w:vertAlign w:val="superscript"/>
          <w:lang w:eastAsia="ru-RU"/>
        </w:rPr>
        <w:footnoteReference w:id="38"/>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2</w:t>
      </w:r>
      <w:r w:rsidR="0009125E">
        <w:rPr>
          <w:rFonts w:ascii="Times New Roman" w:eastAsia="Times New Roman" w:hAnsi="Times New Roman" w:cs="Times New Roman"/>
          <w:sz w:val="28"/>
          <w:szCs w:val="28"/>
          <w:lang w:eastAsia="ru-RU"/>
        </w:rPr>
        <w:t>)</w:t>
      </w:r>
      <w:r w:rsidRPr="0042058C">
        <w:rPr>
          <w:rFonts w:ascii="Times New Roman" w:eastAsia="Times New Roman" w:hAnsi="Times New Roman" w:cs="Times New Roman"/>
          <w:sz w:val="28"/>
          <w:szCs w:val="28"/>
          <w:lang w:eastAsia="ru-RU"/>
        </w:rPr>
        <w:t xml:space="preserve"> Бюджетная и налоговая политика.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Доходная часть бюджета Труновского муниципального округа составила в 2019 г. около 1,1 млрд руб., при этом план по налоговым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неналоговым доходам не выполнен на 0,9%.</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структуре доходов бюджета основную роль, как и в других муниципальных образованиях края, играют безвозмездные поступления, которые в 2019 г. составили 82%. Это позволяет довести размер доходной части в расчете на душу населения до 22,5 тыс. руб., что немного ниже среднекраевого показателя.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Налоговые поступления составляют 85% собственных доходов бюджета Труновского муниципального округа, среди которых на долю подоходного налога приходится 79,6%.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Бюджет городского округа формируется на основе утвержденных                 8 муниципальных программ, в рамках которых расходуется 92,2% от общего объема расходной части бюджета. Структура расходов бюджета является типичной для большинства муниципальных образований края. Основные статьи расходов – это образование и социальная политика. Среди прочих статей следует выделить оплату труда работников муниципальных учреждений и капитальные вложения. Округ участвует в реализации программ государственной поддержки в рамках получения субсидий </w:t>
      </w:r>
      <w:r w:rsidR="00DA4D48">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прочих межбюджетных трансфертов из бюджета Ставропольского края                  (15,8 млн. руб.), большая часть из которых выделяется на сферу образования и социальную поддержку граждан, тогда как на развитие экономического потенциала территории Труновского муниципального округа в 2019 г. было выделено менее 5%.</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tbl>
      <w:tblPr>
        <w:tblW w:w="0" w:type="auto"/>
        <w:tblLayout w:type="fixed"/>
        <w:tblLook w:val="04A0" w:firstRow="1" w:lastRow="0" w:firstColumn="1" w:lastColumn="0" w:noHBand="0" w:noVBand="1"/>
      </w:tblPr>
      <w:tblGrid>
        <w:gridCol w:w="4785"/>
        <w:gridCol w:w="4786"/>
      </w:tblGrid>
      <w:tr w:rsidR="0042058C" w:rsidRPr="0042058C" w:rsidTr="0042058C">
        <w:tc>
          <w:tcPr>
            <w:tcW w:w="4785" w:type="dxa"/>
            <w:shd w:val="clear" w:color="auto" w:fill="auto"/>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F801D11" wp14:editId="00E7F709">
                  <wp:extent cx="2689860" cy="141414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Структура доходов бюджета, %</w:t>
            </w:r>
            <w:r w:rsidRPr="0042058C">
              <w:rPr>
                <w:rFonts w:ascii="Times New Roman" w:eastAsia="Times New Roman" w:hAnsi="Times New Roman" w:cs="Times New Roman"/>
                <w:sz w:val="28"/>
                <w:szCs w:val="28"/>
                <w:vertAlign w:val="superscript"/>
                <w:lang w:eastAsia="ru-RU"/>
              </w:rPr>
              <w:footnoteReference w:id="39"/>
            </w:r>
          </w:p>
        </w:tc>
        <w:tc>
          <w:tcPr>
            <w:tcW w:w="4786" w:type="dxa"/>
            <w:shd w:val="clear" w:color="auto" w:fill="auto"/>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DFCD049" wp14:editId="46CF6D51">
                  <wp:extent cx="2679700" cy="1329055"/>
                  <wp:effectExtent l="0" t="0" r="6350" b="444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Структура собственных доходов бюджета, %</w:t>
            </w:r>
            <w:r w:rsidRPr="0042058C">
              <w:rPr>
                <w:rFonts w:ascii="Times New Roman" w:eastAsia="Times New Roman" w:hAnsi="Times New Roman" w:cs="Times New Roman"/>
                <w:sz w:val="28"/>
                <w:szCs w:val="28"/>
                <w:vertAlign w:val="superscript"/>
                <w:lang w:eastAsia="ru-RU"/>
              </w:rPr>
              <w:footnoteReference w:id="40"/>
            </w:r>
          </w:p>
        </w:tc>
      </w:tr>
      <w:tr w:rsidR="0042058C" w:rsidRPr="0042058C" w:rsidTr="00420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shd w:val="clear" w:color="auto" w:fill="auto"/>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EA197D7" wp14:editId="384ADDA9">
                  <wp:extent cx="2433320" cy="1679575"/>
                  <wp:effectExtent l="0" t="0" r="508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2058C">
              <w:rPr>
                <w:rFonts w:ascii="Times New Roman" w:eastAsia="Times New Roman" w:hAnsi="Times New Roman" w:cs="Times New Roman"/>
                <w:sz w:val="28"/>
                <w:szCs w:val="28"/>
                <w:lang w:eastAsia="ru-RU"/>
              </w:rPr>
              <w:t>Структура налоговых доходов бюджета, %</w:t>
            </w:r>
            <w:r w:rsidRPr="0042058C">
              <w:rPr>
                <w:rFonts w:ascii="Times New Roman" w:eastAsia="Times New Roman" w:hAnsi="Times New Roman" w:cs="Times New Roman"/>
                <w:sz w:val="28"/>
                <w:szCs w:val="28"/>
                <w:vertAlign w:val="superscript"/>
                <w:lang w:eastAsia="ru-RU"/>
              </w:rPr>
              <w:footnoteReference w:id="41"/>
            </w:r>
          </w:p>
        </w:tc>
        <w:tc>
          <w:tcPr>
            <w:tcW w:w="4786" w:type="dxa"/>
            <w:tcBorders>
              <w:top w:val="nil"/>
              <w:left w:val="nil"/>
              <w:bottom w:val="nil"/>
              <w:right w:val="nil"/>
            </w:tcBorders>
            <w:shd w:val="clear" w:color="auto" w:fill="auto"/>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B266BF8" wp14:editId="7C08DF2F">
                  <wp:extent cx="2508250" cy="1679575"/>
                  <wp:effectExtent l="0" t="0" r="635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2058C">
              <w:rPr>
                <w:rFonts w:ascii="Times New Roman" w:eastAsia="Times New Roman" w:hAnsi="Times New Roman" w:cs="Times New Roman"/>
                <w:sz w:val="28"/>
                <w:szCs w:val="28"/>
                <w:lang w:eastAsia="ru-RU"/>
              </w:rPr>
              <w:t>Структура неналоговых доходов бюджета, %</w:t>
            </w:r>
            <w:r w:rsidRPr="0042058C">
              <w:rPr>
                <w:rFonts w:ascii="Times New Roman" w:eastAsia="Times New Roman" w:hAnsi="Times New Roman" w:cs="Times New Roman"/>
                <w:sz w:val="28"/>
                <w:szCs w:val="28"/>
                <w:vertAlign w:val="superscript"/>
                <w:lang w:eastAsia="ru-RU"/>
              </w:rPr>
              <w:footnoteReference w:id="42"/>
            </w:r>
          </w:p>
        </w:tc>
      </w:tr>
      <w:tr w:rsidR="0042058C" w:rsidRPr="0042058C" w:rsidTr="00420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shd w:val="clear" w:color="auto" w:fill="auto"/>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B6702F6" wp14:editId="39E97EFE">
                  <wp:extent cx="2741295" cy="1977390"/>
                  <wp:effectExtent l="0" t="0" r="1905" b="381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058C" w:rsidRPr="0042058C" w:rsidRDefault="0042058C" w:rsidP="00BA53A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Сравнение уровня собственных доходов бюджета в расчете на душу населения с округами-аналогами, </w:t>
            </w:r>
            <w:r w:rsidR="00BA53A8" w:rsidRPr="0042058C">
              <w:rPr>
                <w:rFonts w:ascii="Times New Roman" w:eastAsia="Times New Roman" w:hAnsi="Times New Roman" w:cs="Times New Roman"/>
                <w:sz w:val="28"/>
                <w:szCs w:val="28"/>
                <w:lang w:eastAsia="ru-RU"/>
              </w:rPr>
              <w:t>тыс. руб.</w:t>
            </w:r>
            <w:r w:rsidR="00BA53A8" w:rsidRPr="0042058C">
              <w:rPr>
                <w:rFonts w:ascii="Times New Roman" w:eastAsia="Times New Roman" w:hAnsi="Times New Roman" w:cs="Times New Roman"/>
                <w:sz w:val="28"/>
                <w:szCs w:val="28"/>
                <w:vertAlign w:val="superscript"/>
                <w:lang w:eastAsia="ru-RU"/>
              </w:rPr>
              <w:footnoteReference w:id="43"/>
            </w:r>
          </w:p>
        </w:tc>
        <w:tc>
          <w:tcPr>
            <w:tcW w:w="4786" w:type="dxa"/>
            <w:tcBorders>
              <w:top w:val="nil"/>
              <w:left w:val="nil"/>
              <w:bottom w:val="nil"/>
              <w:right w:val="nil"/>
            </w:tcBorders>
            <w:shd w:val="clear" w:color="auto" w:fill="auto"/>
          </w:tcPr>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DB9B834" wp14:editId="68DC8C3D">
                  <wp:extent cx="2466975" cy="1976755"/>
                  <wp:effectExtent l="0" t="0" r="0" b="444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058C" w:rsidRPr="0042058C" w:rsidRDefault="0042058C" w:rsidP="00BA53A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Сравнение уровня собственных доходов бюджета с округами-аналогами, %</w:t>
            </w:r>
            <w:r w:rsidRPr="0042058C">
              <w:rPr>
                <w:rFonts w:ascii="Times New Roman" w:eastAsia="Times New Roman" w:hAnsi="Times New Roman" w:cs="Times New Roman"/>
                <w:sz w:val="28"/>
                <w:szCs w:val="28"/>
                <w:vertAlign w:val="superscript"/>
                <w:lang w:eastAsia="ru-RU"/>
              </w:rPr>
              <w:footnoteReference w:id="44"/>
            </w:r>
            <w:r w:rsidR="00BA53A8" w:rsidRPr="0042058C">
              <w:rPr>
                <w:rFonts w:ascii="Times New Roman" w:eastAsia="Times New Roman" w:hAnsi="Times New Roman" w:cs="Times New Roman"/>
                <w:sz w:val="28"/>
                <w:szCs w:val="28"/>
                <w:lang w:eastAsia="ru-RU"/>
              </w:rPr>
              <w:t xml:space="preserve"> </w:t>
            </w:r>
          </w:p>
        </w:tc>
      </w:tr>
    </w:tbl>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Рисунок 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Комплексная характеристика доходов бюджета Труновского муниципального округа в 2019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6FFCE8D5" wp14:editId="547D2A10">
            <wp:extent cx="5932805" cy="249872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Структура участия Труновского муниципального округа в программах государственной поддержки в 2019 г., %</w:t>
      </w:r>
      <w:r w:rsidRPr="0042058C">
        <w:rPr>
          <w:rFonts w:ascii="Times New Roman" w:eastAsia="Times New Roman" w:hAnsi="Times New Roman" w:cs="Times New Roman"/>
          <w:noProof/>
          <w:sz w:val="28"/>
          <w:szCs w:val="28"/>
          <w:vertAlign w:val="superscript"/>
          <w:lang w:eastAsia="ru-RU"/>
        </w:rPr>
        <w:footnoteReference w:id="45"/>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Всего в округе реализуется 8 программ, из них 5 по направлению «Новое качество жизни населения» и 3 – «Устойчивое развитие </w:t>
      </w:r>
      <w:r w:rsidR="00BA53A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модернизация экономики». По итогам 2019 г. объем расходов бюджетных средств по программам увеличился до 850 млн. руб. Максимальный объем ассигнований был предусмотрен на развитие образования (573,5 млн. руб.), социальную поддержку граждан (191,5 млн. руб.) и сохранение и развитие культуры (30,9 млн. руб.). </w:t>
      </w:r>
    </w:p>
    <w:p w:rsidR="0042058C" w:rsidRPr="0042058C" w:rsidRDefault="0042058C" w:rsidP="0042058C">
      <w:pPr>
        <w:spacing w:after="160"/>
        <w:ind w:firstLine="709"/>
        <w:rPr>
          <w:rFonts w:ascii="Times New Roman" w:eastAsia="Calibri" w:hAnsi="Times New Roman" w:cs="Times New Roman"/>
          <w:sz w:val="28"/>
          <w:szCs w:val="28"/>
        </w:rPr>
      </w:pPr>
      <w:r w:rsidRPr="0042058C">
        <w:rPr>
          <w:rFonts w:ascii="Times New Roman" w:eastAsia="Calibri" w:hAnsi="Times New Roman" w:cs="Times New Roman"/>
          <w:sz w:val="28"/>
          <w:szCs w:val="28"/>
        </w:rPr>
        <w:t>Таким образом, анализ бюджета Труновского муниципального округа позволяет определить потенциалы и возможности, а также проблемы и риски бюджета территории.</w:t>
      </w:r>
    </w:p>
    <w:tbl>
      <w:tblPr>
        <w:tblW w:w="0" w:type="auto"/>
        <w:tblLook w:val="04A0" w:firstRow="1" w:lastRow="0" w:firstColumn="1" w:lastColumn="0" w:noHBand="0" w:noVBand="1"/>
      </w:tblPr>
      <w:tblGrid>
        <w:gridCol w:w="4361"/>
        <w:gridCol w:w="283"/>
        <w:gridCol w:w="4784"/>
      </w:tblGrid>
      <w:tr w:rsidR="0042058C" w:rsidRPr="0042058C" w:rsidTr="0042058C">
        <w:tc>
          <w:tcPr>
            <w:tcW w:w="4361" w:type="dxa"/>
            <w:shd w:val="clear" w:color="auto" w:fill="auto"/>
          </w:tcPr>
          <w:p w:rsidR="0042058C" w:rsidRPr="0042058C" w:rsidRDefault="0042058C" w:rsidP="0042058C">
            <w:pPr>
              <w:spacing w:after="0"/>
              <w:ind w:firstLine="709"/>
              <w:rPr>
                <w:rFonts w:ascii="Times New Roman" w:eastAsia="Calibri" w:hAnsi="Times New Roman" w:cs="Times New Roman"/>
                <w:sz w:val="28"/>
                <w:szCs w:val="28"/>
              </w:rPr>
            </w:pPr>
            <w:r w:rsidRPr="0042058C">
              <w:rPr>
                <w:rFonts w:ascii="Times New Roman" w:eastAsia="Calibri" w:hAnsi="Times New Roman" w:cs="Times New Roman"/>
                <w:sz w:val="28"/>
                <w:szCs w:val="28"/>
              </w:rPr>
              <w:t>Потенциалы / Возможности:</w:t>
            </w:r>
          </w:p>
          <w:p w:rsidR="0042058C" w:rsidRPr="0042058C" w:rsidRDefault="0042058C" w:rsidP="0009125E">
            <w:pPr>
              <w:widowControl w:val="0"/>
              <w:tabs>
                <w:tab w:val="left" w:pos="284"/>
              </w:tabs>
              <w:autoSpaceDE w:val="0"/>
              <w:autoSpaceDN w:val="0"/>
              <w:adjustRightInd w:val="0"/>
              <w:spacing w:after="0" w:line="240" w:lineRule="auto"/>
              <w:ind w:left="142"/>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Высокая резистентность бюджетной системы округа к внешним экономическим воздействиям; </w:t>
            </w:r>
          </w:p>
          <w:p w:rsidR="0042058C" w:rsidRPr="0042058C" w:rsidRDefault="0042058C" w:rsidP="0009125E">
            <w:pPr>
              <w:widowControl w:val="0"/>
              <w:tabs>
                <w:tab w:val="left" w:pos="284"/>
              </w:tabs>
              <w:autoSpaceDE w:val="0"/>
              <w:autoSpaceDN w:val="0"/>
              <w:adjustRightInd w:val="0"/>
              <w:spacing w:after="0" w:line="240" w:lineRule="auto"/>
              <w:ind w:left="142"/>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возможен экономический рост                                и расширение располагаемых налоговых доходов за счет развития сферы услуг и экономической активности МСП;</w:t>
            </w:r>
          </w:p>
          <w:p w:rsidR="0042058C" w:rsidRPr="0042058C" w:rsidRDefault="0042058C" w:rsidP="0009125E">
            <w:pPr>
              <w:widowControl w:val="0"/>
              <w:tabs>
                <w:tab w:val="left" w:pos="284"/>
              </w:tabs>
              <w:autoSpaceDE w:val="0"/>
              <w:autoSpaceDN w:val="0"/>
              <w:adjustRightInd w:val="0"/>
              <w:spacing w:after="0" w:line="240" w:lineRule="auto"/>
              <w:ind w:left="142"/>
              <w:jc w:val="both"/>
              <w:rPr>
                <w:rFonts w:ascii="Arial" w:eastAsia="Calibri" w:hAnsi="Arial" w:cs="Times New Roman"/>
                <w:sz w:val="24"/>
                <w:szCs w:val="24"/>
              </w:rPr>
            </w:pPr>
            <w:r w:rsidRPr="0042058C">
              <w:rPr>
                <w:rFonts w:ascii="Times New Roman" w:eastAsia="Calibri" w:hAnsi="Times New Roman" w:cs="Times New Roman"/>
                <w:sz w:val="28"/>
                <w:szCs w:val="28"/>
              </w:rPr>
              <w:t>сбалансированный бюджет дает возможность проводить проактивную политику стимулирования экономической активности.</w:t>
            </w:r>
          </w:p>
        </w:tc>
        <w:tc>
          <w:tcPr>
            <w:tcW w:w="283" w:type="dxa"/>
            <w:shd w:val="clear" w:color="auto" w:fill="auto"/>
          </w:tcPr>
          <w:p w:rsidR="0042058C" w:rsidRPr="0042058C" w:rsidRDefault="0042058C" w:rsidP="0042058C">
            <w:pPr>
              <w:spacing w:after="0"/>
              <w:rPr>
                <w:rFonts w:ascii="Arial" w:eastAsia="Calibri" w:hAnsi="Arial" w:cs="Times New Roman"/>
                <w:b/>
                <w:sz w:val="24"/>
                <w:szCs w:val="24"/>
              </w:rPr>
            </w:pPr>
          </w:p>
        </w:tc>
        <w:tc>
          <w:tcPr>
            <w:tcW w:w="4784" w:type="dxa"/>
            <w:shd w:val="clear" w:color="auto" w:fill="auto"/>
          </w:tcPr>
          <w:p w:rsidR="0042058C" w:rsidRPr="0042058C" w:rsidRDefault="0042058C" w:rsidP="0042058C">
            <w:pPr>
              <w:spacing w:after="0"/>
              <w:ind w:left="-250" w:firstLine="993"/>
              <w:rPr>
                <w:rFonts w:ascii="Times New Roman" w:eastAsia="Calibri" w:hAnsi="Times New Roman" w:cs="Times New Roman"/>
                <w:sz w:val="28"/>
                <w:szCs w:val="28"/>
              </w:rPr>
            </w:pPr>
            <w:r w:rsidRPr="0042058C">
              <w:rPr>
                <w:rFonts w:ascii="Times New Roman" w:eastAsia="Calibri" w:hAnsi="Times New Roman" w:cs="Times New Roman"/>
                <w:sz w:val="28"/>
                <w:szCs w:val="28"/>
              </w:rPr>
              <w:t>Проблемы / Риски:</w:t>
            </w:r>
          </w:p>
          <w:p w:rsidR="0042058C" w:rsidRPr="0042058C" w:rsidRDefault="0042058C" w:rsidP="0009125E">
            <w:pPr>
              <w:widowControl w:val="0"/>
              <w:tabs>
                <w:tab w:val="left" w:pos="284"/>
              </w:tabs>
              <w:autoSpaceDE w:val="0"/>
              <w:autoSpaceDN w:val="0"/>
              <w:adjustRightInd w:val="0"/>
              <w:spacing w:after="0" w:line="240" w:lineRule="auto"/>
              <w:ind w:left="176"/>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низкая доля собственных доходов в структуре бюджета из-за невысокого налогового потенциала, но это характерно для всех муниципальных округов края;</w:t>
            </w:r>
          </w:p>
          <w:p w:rsidR="0042058C" w:rsidRPr="0042058C" w:rsidRDefault="0042058C" w:rsidP="0009125E">
            <w:pPr>
              <w:widowControl w:val="0"/>
              <w:tabs>
                <w:tab w:val="left" w:pos="284"/>
              </w:tabs>
              <w:autoSpaceDE w:val="0"/>
              <w:autoSpaceDN w:val="0"/>
              <w:adjustRightInd w:val="0"/>
              <w:spacing w:after="0" w:line="240" w:lineRule="auto"/>
              <w:ind w:left="176"/>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отсутстви</w:t>
            </w:r>
            <w:r w:rsidR="00BA53A8">
              <w:rPr>
                <w:rFonts w:ascii="Times New Roman" w:eastAsia="Calibri" w:hAnsi="Times New Roman" w:cs="Times New Roman"/>
                <w:sz w:val="28"/>
                <w:szCs w:val="28"/>
              </w:rPr>
              <w:t>е крупных налогоплательщиков в о</w:t>
            </w:r>
            <w:r w:rsidRPr="0042058C">
              <w:rPr>
                <w:rFonts w:ascii="Times New Roman" w:eastAsia="Calibri" w:hAnsi="Times New Roman" w:cs="Times New Roman"/>
                <w:sz w:val="28"/>
                <w:szCs w:val="28"/>
              </w:rPr>
              <w:t>круге снижает возможность укрепления налогового потенциала;</w:t>
            </w:r>
          </w:p>
          <w:p w:rsidR="0042058C" w:rsidRPr="0042058C" w:rsidRDefault="0042058C" w:rsidP="0009125E">
            <w:pPr>
              <w:widowControl w:val="0"/>
              <w:tabs>
                <w:tab w:val="left" w:pos="284"/>
              </w:tabs>
              <w:autoSpaceDE w:val="0"/>
              <w:autoSpaceDN w:val="0"/>
              <w:adjustRightInd w:val="0"/>
              <w:spacing w:after="0" w:line="240" w:lineRule="auto"/>
              <w:ind w:left="176"/>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низкие темпы роста собственных доходов бюджета.</w:t>
            </w:r>
          </w:p>
          <w:p w:rsidR="0042058C" w:rsidRPr="0042058C" w:rsidRDefault="0042058C" w:rsidP="0042058C">
            <w:pPr>
              <w:tabs>
                <w:tab w:val="left" w:pos="284"/>
              </w:tabs>
              <w:spacing w:after="0"/>
              <w:jc w:val="both"/>
              <w:rPr>
                <w:rFonts w:ascii="Arial" w:eastAsia="Calibri" w:hAnsi="Arial" w:cs="Times New Roman"/>
                <w:sz w:val="24"/>
                <w:szCs w:val="24"/>
              </w:rPr>
            </w:pP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3</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Инвестиционная политика.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инвестиций в округе за анализируемый период является разнонаправленной, что связано с реализацией единичных проектов. К 2019 г. инвестиции за счет бюджетных средств стали снижать свою значимость как за счет федеральных и региональных, так и местных финансовых ресурсов, что обусловлено снижением инвестиционной привлекательности округа, а это повлекло за собой и сокращение частных вложений за счет собственных средств.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Инвестирование в создание инфраструктурных производственных проектов за счет государственных средств и на условиях софинансирования осуществляется преимущественно в сфере сельского хозяйства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переработки сельскохозяйственной продукции. На территории округа создан региональный индустриальный парк с агропромышленной специализацией.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60C39D39" wp14:editId="4B7385BF">
            <wp:extent cx="5528945" cy="3061970"/>
            <wp:effectExtent l="0" t="0" r="0" b="508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125E" w:rsidRDefault="0009125E"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инвестиций в Труновском муниципальном округе по формам собственности в 2016-2019 гг., млн руб.</w:t>
      </w:r>
      <w:r w:rsidRPr="0042058C">
        <w:rPr>
          <w:rFonts w:ascii="Times New Roman" w:eastAsia="Times New Roman" w:hAnsi="Times New Roman" w:cs="Times New Roman"/>
          <w:noProof/>
          <w:sz w:val="28"/>
          <w:szCs w:val="28"/>
          <w:vertAlign w:val="superscript"/>
          <w:lang w:eastAsia="ru-RU"/>
        </w:rPr>
        <w:footnoteReference w:id="46"/>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За счет регионального и местного бюджета в основном финансируется модернизация и реконструкция объектов социальной сферы.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структуре частных инвестиций в 2019 г. лидирующее место занимает сельское хозяйство (более 80%), на развитие промышленности и сферы услуг приходится около 10 %.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29DEDBC3" wp14:editId="65A1867A">
            <wp:extent cx="4572000" cy="27432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Структура государственных инвестиций Труновского муниципального округа в 2019 г., %</w:t>
      </w:r>
      <w:r w:rsidRPr="0042058C">
        <w:rPr>
          <w:rFonts w:ascii="Times New Roman" w:eastAsia="Times New Roman" w:hAnsi="Times New Roman" w:cs="Times New Roman"/>
          <w:noProof/>
          <w:sz w:val="28"/>
          <w:szCs w:val="28"/>
          <w:vertAlign w:val="superscript"/>
          <w:lang w:eastAsia="ru-RU"/>
        </w:rPr>
        <w:footnoteReference w:id="47"/>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00B0F0D5" wp14:editId="1F13CE2F">
            <wp:extent cx="5677535" cy="278574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13</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инвестиций в Труновском муниципальном округе по источникам финансирования в 2016-2019 гг., млн руб</w:t>
      </w:r>
      <w:r w:rsidRPr="0042058C">
        <w:rPr>
          <w:rFonts w:ascii="Times New Roman" w:eastAsia="Times New Roman" w:hAnsi="Times New Roman" w:cs="Times New Roman"/>
          <w:noProof/>
          <w:sz w:val="28"/>
          <w:szCs w:val="28"/>
          <w:vertAlign w:val="superscript"/>
          <w:lang w:eastAsia="ru-RU"/>
        </w:rPr>
        <w:footnoteReference w:id="48"/>
      </w:r>
      <w:r w:rsidRPr="0042058C">
        <w:rPr>
          <w:rFonts w:ascii="Times New Roman" w:eastAsia="Times New Roman" w:hAnsi="Times New Roman" w:cs="Times New Roman"/>
          <w:noProof/>
          <w:sz w:val="28"/>
          <w:szCs w:val="28"/>
          <w:lang w:eastAsia="ru-RU"/>
        </w:rPr>
        <w:t>.</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0" w:type="auto"/>
        <w:tblLook w:val="04A0" w:firstRow="1" w:lastRow="0" w:firstColumn="1" w:lastColumn="0" w:noHBand="0" w:noVBand="1"/>
      </w:tblPr>
      <w:tblGrid>
        <w:gridCol w:w="4672"/>
        <w:gridCol w:w="4673"/>
      </w:tblGrid>
      <w:tr w:rsidR="0042058C" w:rsidRPr="0042058C" w:rsidTr="0042058C">
        <w:tc>
          <w:tcPr>
            <w:tcW w:w="4672" w:type="dxa"/>
            <w:shd w:val="clear" w:color="auto" w:fill="auto"/>
          </w:tcPr>
          <w:p w:rsidR="00BA53A8" w:rsidRDefault="00BA53A8" w:rsidP="0042058C">
            <w:pPr>
              <w:tabs>
                <w:tab w:val="left" w:pos="1870"/>
              </w:tabs>
              <w:spacing w:after="0"/>
              <w:ind w:firstLine="709"/>
              <w:contextualSpacing/>
              <w:rPr>
                <w:rFonts w:ascii="Times New Roman" w:eastAsia="Calibri" w:hAnsi="Times New Roman" w:cs="Times New Roman"/>
                <w:color w:val="000000"/>
                <w:sz w:val="28"/>
                <w:szCs w:val="28"/>
              </w:rPr>
            </w:pPr>
          </w:p>
          <w:p w:rsidR="0042058C" w:rsidRPr="0042058C" w:rsidRDefault="0042058C" w:rsidP="0042058C">
            <w:pPr>
              <w:tabs>
                <w:tab w:val="left" w:pos="1870"/>
              </w:tabs>
              <w:spacing w:after="0"/>
              <w:ind w:firstLine="709"/>
              <w:contextualSpacing/>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Потенциалы / Возможности:</w:t>
            </w:r>
          </w:p>
          <w:p w:rsidR="0042058C" w:rsidRPr="0042058C" w:rsidRDefault="0042058C" w:rsidP="0009125E">
            <w:pPr>
              <w:widowControl w:val="0"/>
              <w:tabs>
                <w:tab w:val="left" w:pos="31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наличие предприятий в отрасли сельского хозяйства, имеющих опыт и высокий потенциал в реализации инвестиционных проектов по глубокой переработке сельскохозяйственной продукции и организации производства новых видов продукции (садоводство, выращивание овощей в закрытом грунте);</w:t>
            </w:r>
          </w:p>
          <w:p w:rsidR="0042058C" w:rsidRPr="0042058C" w:rsidRDefault="0042058C" w:rsidP="0009125E">
            <w:pPr>
              <w:widowControl w:val="0"/>
              <w:tabs>
                <w:tab w:val="left" w:pos="31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возможности роста инвестиционной активности в перспективных секторах растениеводства и животноводства (семеноводство и селекционно-племенная работа, производство экологически чистой продукции);</w:t>
            </w:r>
          </w:p>
          <w:p w:rsidR="0042058C" w:rsidRPr="0042058C" w:rsidRDefault="0042058C" w:rsidP="0009125E">
            <w:pPr>
              <w:widowControl w:val="0"/>
              <w:tabs>
                <w:tab w:val="left" w:pos="313"/>
              </w:tabs>
              <w:autoSpaceDE w:val="0"/>
              <w:autoSpaceDN w:val="0"/>
              <w:adjustRightInd w:val="0"/>
              <w:spacing w:after="0" w:line="240" w:lineRule="auto"/>
              <w:contextualSpacing/>
              <w:jc w:val="both"/>
              <w:rPr>
                <w:rFonts w:ascii="Arial" w:eastAsia="Calibri" w:hAnsi="Arial" w:cs="Arial"/>
                <w:color w:val="000000"/>
                <w:sz w:val="24"/>
                <w:szCs w:val="24"/>
              </w:rPr>
            </w:pPr>
            <w:r w:rsidRPr="0042058C">
              <w:rPr>
                <w:rFonts w:ascii="Times New Roman" w:eastAsia="Calibri" w:hAnsi="Times New Roman" w:cs="Times New Roman"/>
                <w:color w:val="000000"/>
                <w:sz w:val="28"/>
                <w:szCs w:val="28"/>
              </w:rPr>
              <w:t>высокий потенциал роста инвестиционной активности за счет организации консультационной поддержки предпринимателей для участия в региональных и федеральных программах поддержки субъектов малого и среднего бизнеса.</w:t>
            </w:r>
          </w:p>
        </w:tc>
        <w:tc>
          <w:tcPr>
            <w:tcW w:w="4673" w:type="dxa"/>
            <w:shd w:val="clear" w:color="auto" w:fill="auto"/>
          </w:tcPr>
          <w:p w:rsidR="00BA53A8" w:rsidRDefault="00BA53A8" w:rsidP="0042058C">
            <w:pPr>
              <w:spacing w:after="0"/>
              <w:ind w:left="720" w:hanging="5"/>
              <w:contextualSpacing/>
              <w:rPr>
                <w:rFonts w:ascii="Times New Roman" w:eastAsia="Calibri" w:hAnsi="Times New Roman" w:cs="Times New Roman"/>
                <w:color w:val="000000"/>
                <w:sz w:val="28"/>
                <w:szCs w:val="28"/>
              </w:rPr>
            </w:pPr>
          </w:p>
          <w:p w:rsidR="0042058C" w:rsidRPr="0042058C" w:rsidRDefault="0042058C" w:rsidP="0042058C">
            <w:pPr>
              <w:spacing w:after="0"/>
              <w:ind w:left="720" w:hanging="5"/>
              <w:contextualSpacing/>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Проблемы / Риски:</w:t>
            </w:r>
          </w:p>
          <w:p w:rsidR="0042058C" w:rsidRPr="0042058C" w:rsidRDefault="0042058C" w:rsidP="0009125E">
            <w:pPr>
              <w:widowControl w:val="0"/>
              <w:tabs>
                <w:tab w:val="left" w:pos="57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невысокий уровень государственных инвестиций в экономику округа;</w:t>
            </w:r>
          </w:p>
          <w:p w:rsidR="0042058C" w:rsidRPr="0042058C" w:rsidRDefault="0042058C" w:rsidP="0009125E">
            <w:pPr>
              <w:widowControl w:val="0"/>
              <w:tabs>
                <w:tab w:val="left" w:pos="57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снижение уровня инвестиций в пищевой и перерабатывающей промышленности и сфере услуг;</w:t>
            </w:r>
          </w:p>
          <w:p w:rsidR="0042058C" w:rsidRPr="0042058C" w:rsidRDefault="0042058C" w:rsidP="0009125E">
            <w:pPr>
              <w:widowControl w:val="0"/>
              <w:tabs>
                <w:tab w:val="left" w:pos="57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 xml:space="preserve">недостаточное количество крупных инвестиционных проектов, финансируемых за счет государственного и частного капитала; </w:t>
            </w:r>
          </w:p>
          <w:p w:rsidR="0042058C" w:rsidRPr="0042058C" w:rsidRDefault="0042058C" w:rsidP="0009125E">
            <w:pPr>
              <w:widowControl w:val="0"/>
              <w:tabs>
                <w:tab w:val="left" w:pos="573"/>
              </w:tabs>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ограниченные возможности предприятий округа по финансированию инвестиционных проектов за счет собственных средств.</w:t>
            </w:r>
          </w:p>
          <w:p w:rsidR="0042058C" w:rsidRPr="0042058C" w:rsidRDefault="0042058C" w:rsidP="0042058C">
            <w:pPr>
              <w:tabs>
                <w:tab w:val="left" w:pos="1870"/>
              </w:tabs>
              <w:spacing w:after="0"/>
              <w:ind w:left="720"/>
              <w:contextualSpacing/>
              <w:rPr>
                <w:rFonts w:ascii="Arial" w:eastAsia="Calibri" w:hAnsi="Arial" w:cs="Arial"/>
                <w:color w:val="000000"/>
                <w:sz w:val="24"/>
                <w:szCs w:val="24"/>
              </w:rPr>
            </w:pP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Агропромышленный комплекс.</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АПК округа в 2019 г. действовало 10 сельскохозяйственных предприятий, 128 крестьянских (фермерских) хозяйств и индивидуальных предпринимателей и было зарегистрировано более 12,0 тыс. личных подсобных хозяйств граждан.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Особенностью структуры агропромышленного комплекса Труновского муниципального округа является преобладание растениеводства над животноводством. Основными культурами возделывания являются зернобобовые, посевная площадь которых в 2019 году составила 90,3 тыс. га, что на 3 тыс. га больше чем в 2018 году. Производство зерновых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зернобобовых культур в первоначально оприходованном весе составило 385,3 тыс. тонн зерна или 101% к 2018 г. при средней урожайности 41,7 ц/га. Производство подсолнечника составило 35,0 тыс. тонн или 115 к 2018 г. при средней урожайности 20,1 ц/га. Объем производства сахарной свеклы составил 209,2 тыс. тонн или 149 % к уровню 2018 г. За исследуемый период увеличилась доля площади, засеваемой элитными семенами, в общей площади посевов на территории края на 5,5 % к уровню 2018 года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составила 12,7 %.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Труновский муниципальный округ обладает значительным потенциалом в производстве плодов и ягод и занимает одно из первых мест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крае по их сбору. По уникальной технологии промышленного производства садов с использованием системы капельного орошения осуществляется выращивание яблонь и слив. В 2019 году получено 8,95 тыс. тонн плодов, это на 62 % больше 2018 года.</w:t>
      </w:r>
    </w:p>
    <w:p w:rsidR="0042058C" w:rsidRPr="0042058C" w:rsidRDefault="001A7B4B"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В о</w:t>
      </w:r>
      <w:r w:rsidR="0042058C" w:rsidRPr="0042058C">
        <w:rPr>
          <w:rFonts w:ascii="Times New Roman" w:eastAsia="Times New Roman" w:hAnsi="Times New Roman" w:cs="Times New Roman"/>
          <w:noProof/>
          <w:sz w:val="28"/>
          <w:szCs w:val="28"/>
          <w:lang w:eastAsia="ru-RU"/>
        </w:rPr>
        <w:t xml:space="preserve">круге наблюдается спад отрасли животноводства. Убыток </w:t>
      </w:r>
      <w:r w:rsidR="00BA53A8">
        <w:rPr>
          <w:rFonts w:ascii="Times New Roman" w:eastAsia="Times New Roman" w:hAnsi="Times New Roman" w:cs="Times New Roman"/>
          <w:noProof/>
          <w:sz w:val="28"/>
          <w:szCs w:val="28"/>
          <w:lang w:eastAsia="ru-RU"/>
        </w:rPr>
        <w:t xml:space="preserve">                     </w:t>
      </w:r>
      <w:r w:rsidR="0042058C" w:rsidRPr="0042058C">
        <w:rPr>
          <w:rFonts w:ascii="Times New Roman" w:eastAsia="Times New Roman" w:hAnsi="Times New Roman" w:cs="Times New Roman"/>
          <w:noProof/>
          <w:sz w:val="28"/>
          <w:szCs w:val="28"/>
          <w:lang w:eastAsia="ru-RU"/>
        </w:rPr>
        <w:t xml:space="preserve">от реализации животноводческой продукции составил 7,3 млн. рублей. Производство мяса всех видов во всех категориях хозяйств составило – </w:t>
      </w:r>
      <w:r w:rsidR="00BA53A8">
        <w:rPr>
          <w:rFonts w:ascii="Times New Roman" w:eastAsia="Times New Roman" w:hAnsi="Times New Roman" w:cs="Times New Roman"/>
          <w:noProof/>
          <w:sz w:val="28"/>
          <w:szCs w:val="28"/>
          <w:lang w:eastAsia="ru-RU"/>
        </w:rPr>
        <w:t xml:space="preserve">               </w:t>
      </w:r>
      <w:r w:rsidR="0042058C" w:rsidRPr="0042058C">
        <w:rPr>
          <w:rFonts w:ascii="Times New Roman" w:eastAsia="Times New Roman" w:hAnsi="Times New Roman" w:cs="Times New Roman"/>
          <w:noProof/>
          <w:sz w:val="28"/>
          <w:szCs w:val="28"/>
          <w:lang w:eastAsia="ru-RU"/>
        </w:rPr>
        <w:t>2,3 тыс. тонн, что на 35% меньше, чем годом ранее. Аналогичная тенденция наблюдается и в производстве молока, спад составил более 40%. Особенностью животноводства является то, что более 80% поголовья КРС содержится в крестьянских (фермерских) и личных подсобных хозяйствах граждан.</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55D99A65" wp14:editId="1804F850">
            <wp:extent cx="5921375" cy="2720975"/>
            <wp:effectExtent l="0" t="0" r="3175" b="317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производства сельскохозяйственной продукции в Труновском муниципальном округе в 2016-2019 гг., млн руб.</w:t>
      </w:r>
      <w:r w:rsidRPr="0042058C">
        <w:rPr>
          <w:rFonts w:ascii="Times New Roman" w:eastAsia="Times New Roman" w:hAnsi="Times New Roman" w:cs="Times New Roman"/>
          <w:noProof/>
          <w:sz w:val="28"/>
          <w:szCs w:val="28"/>
          <w:vertAlign w:val="superscript"/>
          <w:lang w:eastAsia="ru-RU"/>
        </w:rPr>
        <w:footnoteReference w:id="49"/>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Рентабельность всей хозяйственной деятельности по отрасли в 2019 году составила около 28% (прибыльны все сельскохозяйственные организации), что незначительно ниже уровня 2018 года и связано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отсутствием осадков.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11B6C83E" wp14:editId="2C2CA853">
            <wp:extent cx="5943600" cy="3041015"/>
            <wp:effectExtent l="0" t="0" r="0" b="698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Динамика производства перспективной продукции растениеводства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Труновском муниципальном округе в 2016-2019 гг., тонн</w:t>
      </w:r>
      <w:r w:rsidRPr="0042058C">
        <w:rPr>
          <w:rFonts w:ascii="Times New Roman" w:eastAsia="Times New Roman" w:hAnsi="Times New Roman" w:cs="Times New Roman"/>
          <w:noProof/>
          <w:sz w:val="28"/>
          <w:szCs w:val="28"/>
          <w:vertAlign w:val="superscript"/>
          <w:lang w:eastAsia="ru-RU"/>
        </w:rPr>
        <w:footnoteReference w:id="50"/>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Инвестиции в основной капитал по отрасли сельское хозяйство, охота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предоставление услуг в этих областях за 2019 год составили 797,0 млн. рублей. </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09125E"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32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производства продукции животноводства в Труновском муниципальном округе в 2016-2019 гг.</w:t>
      </w:r>
      <w:r w:rsidRPr="0042058C">
        <w:rPr>
          <w:rFonts w:ascii="Times New Roman" w:eastAsia="Times New Roman" w:hAnsi="Times New Roman" w:cs="Times New Roman"/>
          <w:noProof/>
          <w:sz w:val="28"/>
          <w:szCs w:val="28"/>
          <w:vertAlign w:val="superscript"/>
          <w:lang w:eastAsia="ru-RU"/>
        </w:rPr>
        <w:footnoteReference w:id="51"/>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jc w:val="center"/>
        <w:tblLook w:val="04A0" w:firstRow="1" w:lastRow="0" w:firstColumn="1" w:lastColumn="0" w:noHBand="0" w:noVBand="1"/>
      </w:tblPr>
      <w:tblGrid>
        <w:gridCol w:w="4874"/>
        <w:gridCol w:w="1175"/>
        <w:gridCol w:w="1175"/>
        <w:gridCol w:w="1175"/>
        <w:gridCol w:w="1171"/>
      </w:tblGrid>
      <w:tr w:rsidR="0042058C" w:rsidRPr="0042058C" w:rsidTr="0042058C">
        <w:trPr>
          <w:trHeight w:val="20"/>
          <w:jc w:val="center"/>
        </w:trPr>
        <w:tc>
          <w:tcPr>
            <w:tcW w:w="25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Показатели</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2016</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2017</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2018</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2019</w:t>
            </w:r>
          </w:p>
        </w:tc>
      </w:tr>
      <w:tr w:rsidR="0042058C" w:rsidRPr="0042058C" w:rsidTr="0042058C">
        <w:trPr>
          <w:trHeight w:val="2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Скот и птица на убой, тыс. тонн</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4,5</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5,1</w:t>
            </w:r>
          </w:p>
        </w:tc>
        <w:tc>
          <w:tcPr>
            <w:tcW w:w="612"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w:t>
            </w:r>
          </w:p>
        </w:tc>
      </w:tr>
      <w:tr w:rsidR="0042058C" w:rsidRPr="0042058C" w:rsidTr="0042058C">
        <w:trPr>
          <w:trHeight w:val="2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Молоко, тыс. тонн</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20,7</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20,9</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15,8</w:t>
            </w:r>
          </w:p>
        </w:tc>
        <w:tc>
          <w:tcPr>
            <w:tcW w:w="612"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12,1</w:t>
            </w:r>
          </w:p>
        </w:tc>
      </w:tr>
      <w:tr w:rsidR="0042058C" w:rsidRPr="0042058C" w:rsidTr="0042058C">
        <w:trPr>
          <w:trHeight w:val="2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Яйца, млн. штук</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13,1</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17,8</w:t>
            </w:r>
          </w:p>
        </w:tc>
        <w:tc>
          <w:tcPr>
            <w:tcW w:w="612"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17,3</w:t>
            </w:r>
          </w:p>
        </w:tc>
      </w:tr>
      <w:tr w:rsidR="0042058C" w:rsidRPr="0042058C" w:rsidTr="0042058C">
        <w:trPr>
          <w:trHeight w:val="20"/>
          <w:jc w:val="center"/>
        </w:trPr>
        <w:tc>
          <w:tcPr>
            <w:tcW w:w="2546" w:type="pct"/>
            <w:tcBorders>
              <w:top w:val="nil"/>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Шерсть, тонн</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37,2</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35,1</w:t>
            </w:r>
          </w:p>
        </w:tc>
        <w:tc>
          <w:tcPr>
            <w:tcW w:w="614"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37,0</w:t>
            </w:r>
          </w:p>
        </w:tc>
        <w:tc>
          <w:tcPr>
            <w:tcW w:w="612" w:type="pct"/>
            <w:tcBorders>
              <w:top w:val="nil"/>
              <w:left w:val="nil"/>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29,0</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0" w:type="auto"/>
        <w:tblLook w:val="04A0" w:firstRow="1" w:lastRow="0" w:firstColumn="1" w:lastColumn="0" w:noHBand="0" w:noVBand="1"/>
      </w:tblPr>
      <w:tblGrid>
        <w:gridCol w:w="4503"/>
        <w:gridCol w:w="283"/>
        <w:gridCol w:w="4651"/>
      </w:tblGrid>
      <w:tr w:rsidR="0042058C" w:rsidRPr="0042058C" w:rsidTr="0042058C">
        <w:tc>
          <w:tcPr>
            <w:tcW w:w="4503" w:type="dxa"/>
            <w:shd w:val="clear" w:color="auto" w:fill="auto"/>
          </w:tcPr>
          <w:p w:rsidR="0042058C" w:rsidRPr="0042058C" w:rsidRDefault="0042058C" w:rsidP="0042058C">
            <w:pPr>
              <w:widowControl w:val="0"/>
              <w:tabs>
                <w:tab w:val="left" w:pos="300"/>
              </w:tabs>
              <w:spacing w:after="0"/>
              <w:ind w:right="-391" w:firstLine="709"/>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Потенциалы / Возможности:</w:t>
            </w:r>
          </w:p>
          <w:p w:rsidR="0042058C" w:rsidRPr="0042058C" w:rsidRDefault="0042058C" w:rsidP="0009125E">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большие перспективы в развитии производства плодоовощной и ягодной продукции за счет имеющейся большой площади потенциального водного орошения;</w:t>
            </w:r>
          </w:p>
          <w:p w:rsidR="0042058C" w:rsidRPr="0042058C" w:rsidRDefault="0042058C" w:rsidP="0009125E">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наличие возможностей для развития элитного семеноводства и селекционно-племенной работе;</w:t>
            </w:r>
          </w:p>
          <w:p w:rsidR="0042058C" w:rsidRPr="0042058C" w:rsidRDefault="0042058C" w:rsidP="0009125E">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возможности по наращиванию потенциала производства органической и экологически чистой продукции;</w:t>
            </w:r>
          </w:p>
          <w:p w:rsidR="0042058C" w:rsidRPr="0042058C" w:rsidRDefault="0042058C" w:rsidP="0009125E">
            <w:pPr>
              <w:widowControl w:val="0"/>
              <w:tabs>
                <w:tab w:val="left" w:pos="300"/>
              </w:tabs>
              <w:autoSpaceDE w:val="0"/>
              <w:autoSpaceDN w:val="0"/>
              <w:adjustRightInd w:val="0"/>
              <w:spacing w:after="0" w:line="240" w:lineRule="auto"/>
              <w:jc w:val="both"/>
              <w:rPr>
                <w:rFonts w:ascii="Times New Roman" w:eastAsia="Calibri" w:hAnsi="Times New Roman" w:cs="Times New Roman"/>
                <w:b/>
                <w:sz w:val="28"/>
                <w:szCs w:val="28"/>
                <w:lang w:eastAsia="x-none"/>
              </w:rPr>
            </w:pPr>
            <w:r w:rsidRPr="0042058C">
              <w:rPr>
                <w:rFonts w:ascii="Times New Roman" w:eastAsia="Calibri" w:hAnsi="Times New Roman" w:cs="Times New Roman"/>
                <w:sz w:val="28"/>
                <w:szCs w:val="28"/>
                <w:lang w:eastAsia="x-none"/>
              </w:rPr>
              <w:t>высокий потенциал роста сбыта продукции организациями малого и среднего предпринимательства за счет развитие ярмарок и фермерских рынков, торговых сетей и сектора общественного питания;</w:t>
            </w:r>
          </w:p>
          <w:p w:rsidR="0042058C" w:rsidRPr="0042058C" w:rsidRDefault="0042058C" w:rsidP="0009125E">
            <w:pPr>
              <w:widowControl w:val="0"/>
              <w:tabs>
                <w:tab w:val="left" w:pos="300"/>
              </w:tabs>
              <w:autoSpaceDE w:val="0"/>
              <w:autoSpaceDN w:val="0"/>
              <w:adjustRightInd w:val="0"/>
              <w:spacing w:after="0" w:line="240" w:lineRule="auto"/>
              <w:jc w:val="both"/>
              <w:rPr>
                <w:rFonts w:ascii="Times New Roman" w:eastAsia="Calibri" w:hAnsi="Times New Roman" w:cs="Times New Roman"/>
                <w:b/>
                <w:sz w:val="28"/>
                <w:szCs w:val="28"/>
                <w:lang w:eastAsia="x-none"/>
              </w:rPr>
            </w:pPr>
            <w:r w:rsidRPr="0042058C">
              <w:rPr>
                <w:rFonts w:ascii="Times New Roman" w:eastAsia="Calibri" w:hAnsi="Times New Roman" w:cs="Times New Roman"/>
                <w:sz w:val="28"/>
                <w:szCs w:val="28"/>
                <w:lang w:eastAsia="x-none"/>
              </w:rPr>
              <w:t>наличие перспектив расширения применения ресурсосберегающих технологий, сохранения почвенного плодородия.</w:t>
            </w:r>
          </w:p>
        </w:tc>
        <w:tc>
          <w:tcPr>
            <w:tcW w:w="283" w:type="dxa"/>
            <w:shd w:val="clear" w:color="auto" w:fill="auto"/>
          </w:tcPr>
          <w:p w:rsidR="0042058C" w:rsidRPr="0042058C" w:rsidRDefault="0042058C" w:rsidP="0042058C">
            <w:pPr>
              <w:widowControl w:val="0"/>
              <w:spacing w:after="0"/>
              <w:jc w:val="both"/>
              <w:rPr>
                <w:rFonts w:ascii="Times New Roman" w:eastAsia="Calibri" w:hAnsi="Times New Roman" w:cs="Times New Roman"/>
                <w:b/>
                <w:sz w:val="28"/>
                <w:szCs w:val="28"/>
                <w:lang w:eastAsia="x-none"/>
              </w:rPr>
            </w:pPr>
          </w:p>
        </w:tc>
        <w:tc>
          <w:tcPr>
            <w:tcW w:w="4651" w:type="dxa"/>
            <w:shd w:val="clear" w:color="auto" w:fill="auto"/>
          </w:tcPr>
          <w:p w:rsidR="0042058C" w:rsidRPr="0042058C" w:rsidRDefault="0042058C" w:rsidP="0042058C">
            <w:pPr>
              <w:widowControl w:val="0"/>
              <w:tabs>
                <w:tab w:val="left" w:pos="300"/>
              </w:tabs>
              <w:spacing w:after="0"/>
              <w:ind w:firstLine="743"/>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Проблемы / Риски:</w:t>
            </w:r>
          </w:p>
          <w:p w:rsidR="0042058C" w:rsidRPr="0042058C" w:rsidRDefault="0042058C" w:rsidP="0009125E">
            <w:pPr>
              <w:widowControl w:val="0"/>
              <w:autoSpaceDE w:val="0"/>
              <w:autoSpaceDN w:val="0"/>
              <w:adjustRightInd w:val="0"/>
              <w:spacing w:after="0" w:line="240" w:lineRule="auto"/>
              <w:ind w:left="3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низкий уровень переработки сельскохозяйственной продукции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 xml:space="preserve">и усиление моноспециализации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 xml:space="preserve">на растениеводстве за счет сокращения масштабов животноводства и его сосредоточение в секторе КФХ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и ЛПХ;</w:t>
            </w:r>
          </w:p>
          <w:p w:rsidR="0042058C" w:rsidRPr="0042058C" w:rsidRDefault="0042058C" w:rsidP="0009125E">
            <w:pPr>
              <w:widowControl w:val="0"/>
              <w:autoSpaceDE w:val="0"/>
              <w:autoSpaceDN w:val="0"/>
              <w:adjustRightInd w:val="0"/>
              <w:spacing w:after="0" w:line="240" w:lineRule="auto"/>
              <w:ind w:left="3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высокие риски снижения финансо</w:t>
            </w:r>
            <w:r w:rsidRPr="0042058C">
              <w:rPr>
                <w:rFonts w:ascii="Times New Roman" w:eastAsia="Calibri" w:hAnsi="Times New Roman" w:cs="Times New Roman"/>
                <w:sz w:val="28"/>
                <w:szCs w:val="28"/>
                <w:lang w:eastAsia="x-none"/>
              </w:rPr>
              <w:softHyphen/>
              <w:t>вой устойчивости сельхозпроизводителей из-за внешних и внутренних факторов;</w:t>
            </w:r>
          </w:p>
          <w:p w:rsidR="0042058C" w:rsidRPr="0042058C" w:rsidRDefault="0042058C" w:rsidP="0009125E">
            <w:pPr>
              <w:widowControl w:val="0"/>
              <w:autoSpaceDE w:val="0"/>
              <w:autoSpaceDN w:val="0"/>
              <w:adjustRightInd w:val="0"/>
              <w:spacing w:after="0" w:line="240" w:lineRule="auto"/>
              <w:ind w:left="3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недостаточный уровень собственных средств для реализации инвестиционных проектов;</w:t>
            </w:r>
          </w:p>
          <w:p w:rsidR="0042058C" w:rsidRPr="0042058C" w:rsidRDefault="0042058C" w:rsidP="0009125E">
            <w:pPr>
              <w:widowControl w:val="0"/>
              <w:autoSpaceDE w:val="0"/>
              <w:autoSpaceDN w:val="0"/>
              <w:adjustRightInd w:val="0"/>
              <w:spacing w:after="0" w:line="240" w:lineRule="auto"/>
              <w:ind w:left="3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отсутствие координации деятельности малых и средних форм хозяйствования с целью формирования крупных партий поставок продукции на оптовые рынки;</w:t>
            </w:r>
          </w:p>
          <w:p w:rsidR="0042058C" w:rsidRPr="0042058C" w:rsidRDefault="0042058C" w:rsidP="0009125E">
            <w:pPr>
              <w:widowControl w:val="0"/>
              <w:autoSpaceDE w:val="0"/>
              <w:autoSpaceDN w:val="0"/>
              <w:adjustRightInd w:val="0"/>
              <w:spacing w:after="0" w:line="240" w:lineRule="auto"/>
              <w:ind w:left="3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недостаточные мощности и высокий износ специализированной инфраструктуры хранения продукции и основных фондов (элеваторы, овощехранилища).</w:t>
            </w: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5</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Промышленность.</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Промышленность округа представлена цехами малой мощности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тесно связана с агропромышленным комплексом. Основными видами деятельности являются: пищевая промышленность, в которой представлены такие направления как хлебопечение и производство мясоколбасных изделий.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отчётном периоде функционировали шесть хлебозаводов. Хлеба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хлебобулочных изделий в общем объеме было произведено 2325 тонны, выработка снизилась на 7,1 % к уровню 2018 года. Двумя цехами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производству колбасных изделий произведено 51,3 тонны продукции, выработка увеличилась на 19,6 % к уровню прошлого года.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Уровень рентабельности обрабатывающей промышленности находится на удовлетворительном уровне – около 10 – 15%.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48423BAA" wp14:editId="2FF7B57C">
            <wp:extent cx="5847715" cy="2922905"/>
            <wp:effectExtent l="0" t="0" r="635"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058C" w:rsidRPr="0042058C" w:rsidRDefault="0042058C" w:rsidP="0042058C">
      <w:pPr>
        <w:tabs>
          <w:tab w:val="left" w:pos="1455"/>
        </w:tabs>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ab/>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развития пищевой промышленности в Труновском муниципальном округе в 2017-2019 гг</w:t>
      </w:r>
      <w:r w:rsidRPr="0042058C">
        <w:rPr>
          <w:rFonts w:ascii="Times New Roman" w:eastAsia="Times New Roman" w:hAnsi="Times New Roman" w:cs="Times New Roman"/>
          <w:noProof/>
          <w:sz w:val="28"/>
          <w:szCs w:val="28"/>
          <w:vertAlign w:val="superscript"/>
          <w:lang w:eastAsia="ru-RU"/>
        </w:rPr>
        <w:footnoteReference w:id="52"/>
      </w:r>
      <w:r w:rsidRPr="0042058C">
        <w:rPr>
          <w:rFonts w:ascii="Times New Roman" w:eastAsia="Times New Roman" w:hAnsi="Times New Roman" w:cs="Times New Roman"/>
          <w:noProof/>
          <w:sz w:val="28"/>
          <w:szCs w:val="28"/>
          <w:lang w:eastAsia="ru-RU"/>
        </w:rPr>
        <w:t>.</w:t>
      </w:r>
    </w:p>
    <w:p w:rsidR="0042058C" w:rsidRPr="0042058C" w:rsidRDefault="0042058C" w:rsidP="0042058C">
      <w:pPr>
        <w:autoSpaceDE w:val="0"/>
        <w:autoSpaceDN w:val="0"/>
        <w:adjustRightInd w:val="0"/>
        <w:spacing w:after="0" w:line="240" w:lineRule="auto"/>
        <w:ind w:firstLine="709"/>
        <w:rPr>
          <w:rFonts w:ascii="Times New Roman" w:eastAsia="Times New Roman" w:hAnsi="Times New Roman" w:cs="Times New Roman"/>
          <w:noProof/>
          <w:sz w:val="28"/>
          <w:szCs w:val="28"/>
          <w:lang w:eastAsia="ru-RU"/>
        </w:rPr>
      </w:pPr>
    </w:p>
    <w:tbl>
      <w:tblPr>
        <w:tblW w:w="0" w:type="auto"/>
        <w:tblLook w:val="04A0" w:firstRow="1" w:lastRow="0" w:firstColumn="1" w:lastColumn="0" w:noHBand="0" w:noVBand="1"/>
      </w:tblPr>
      <w:tblGrid>
        <w:gridCol w:w="4644"/>
        <w:gridCol w:w="4566"/>
      </w:tblGrid>
      <w:tr w:rsidR="0042058C" w:rsidRPr="0042058C" w:rsidTr="00BA53A8">
        <w:trPr>
          <w:trHeight w:val="6536"/>
        </w:trPr>
        <w:tc>
          <w:tcPr>
            <w:tcW w:w="4644" w:type="dxa"/>
            <w:shd w:val="clear" w:color="auto" w:fill="auto"/>
          </w:tcPr>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Потенциалы / Возможности:</w:t>
            </w:r>
          </w:p>
          <w:p w:rsidR="0042058C" w:rsidRPr="0042058C" w:rsidRDefault="0042058C" w:rsidP="0009125E">
            <w:pPr>
              <w:widowControl w:val="0"/>
              <w:tabs>
                <w:tab w:val="left" w:pos="300"/>
              </w:tabs>
              <w:autoSpaceDE w:val="0"/>
              <w:autoSpaceDN w:val="0"/>
              <w:adjustRightInd w:val="0"/>
              <w:spacing w:after="0" w:line="240" w:lineRule="auto"/>
              <w:ind w:left="28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большой потенциал по развитию перерабатывающей промышленности за счет реализации инвестиционных проектов в рамках ГЧП в направлении производства и хранения плодовой, ягодной и овощной продукции;</w:t>
            </w:r>
          </w:p>
          <w:p w:rsidR="0042058C" w:rsidRPr="0042058C" w:rsidRDefault="0042058C" w:rsidP="0009125E">
            <w:pPr>
              <w:widowControl w:val="0"/>
              <w:tabs>
                <w:tab w:val="left" w:pos="300"/>
              </w:tabs>
              <w:autoSpaceDE w:val="0"/>
              <w:autoSpaceDN w:val="0"/>
              <w:adjustRightInd w:val="0"/>
              <w:spacing w:after="0" w:line="240" w:lineRule="auto"/>
              <w:ind w:left="284"/>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потенциал роста производства продукции пищевой промышленности за счет логистической близости и расширения рынков сбыта в Ставропольской агломерации.</w:t>
            </w:r>
          </w:p>
          <w:p w:rsidR="0042058C" w:rsidRPr="0042058C" w:rsidRDefault="0042058C" w:rsidP="0009125E">
            <w:pPr>
              <w:widowControl w:val="0"/>
              <w:tabs>
                <w:tab w:val="left" w:pos="300"/>
              </w:tabs>
              <w:autoSpaceDE w:val="0"/>
              <w:autoSpaceDN w:val="0"/>
              <w:adjustRightInd w:val="0"/>
              <w:spacing w:after="0" w:line="240" w:lineRule="auto"/>
              <w:ind w:left="284"/>
              <w:jc w:val="both"/>
              <w:rPr>
                <w:rFonts w:ascii="Times New Roman" w:eastAsia="Calibri" w:hAnsi="Times New Roman" w:cs="Times New Roman"/>
                <w:sz w:val="28"/>
                <w:szCs w:val="28"/>
              </w:rPr>
            </w:pPr>
            <w:r w:rsidRPr="0042058C">
              <w:rPr>
                <w:rFonts w:ascii="Times New Roman" w:eastAsia="Calibri" w:hAnsi="Times New Roman" w:cs="Times New Roman"/>
                <w:sz w:val="28"/>
                <w:szCs w:val="28"/>
                <w:lang w:eastAsia="x-none"/>
              </w:rPr>
              <w:t>возможности по реализации проекта по глубокой переработке плодово-ягодной продукции в рамках развития импортозамещающих производств.</w:t>
            </w:r>
          </w:p>
        </w:tc>
        <w:tc>
          <w:tcPr>
            <w:tcW w:w="4566" w:type="dxa"/>
            <w:shd w:val="clear" w:color="auto" w:fill="auto"/>
          </w:tcPr>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Проблемы / Риски:</w:t>
            </w:r>
          </w:p>
          <w:p w:rsidR="0042058C" w:rsidRPr="0042058C" w:rsidRDefault="0042058C" w:rsidP="0009125E">
            <w:pPr>
              <w:widowControl w:val="0"/>
              <w:tabs>
                <w:tab w:val="left" w:pos="300"/>
              </w:tabs>
              <w:autoSpaceDE w:val="0"/>
              <w:autoSpaceDN w:val="0"/>
              <w:adjustRightInd w:val="0"/>
              <w:spacing w:after="0" w:line="240" w:lineRule="auto"/>
              <w:ind w:left="318"/>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рост уровня износа основных фондов;</w:t>
            </w:r>
          </w:p>
          <w:p w:rsidR="0042058C" w:rsidRPr="0042058C" w:rsidRDefault="0042058C" w:rsidP="0009125E">
            <w:pPr>
              <w:widowControl w:val="0"/>
              <w:tabs>
                <w:tab w:val="left" w:pos="300"/>
              </w:tabs>
              <w:autoSpaceDE w:val="0"/>
              <w:autoSpaceDN w:val="0"/>
              <w:adjustRightInd w:val="0"/>
              <w:spacing w:after="0" w:line="240" w:lineRule="auto"/>
              <w:ind w:left="318"/>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недостаточный уровень рентабельности в промышленности для реализации крупных инвестиционных проектов за счет собственных средств;</w:t>
            </w:r>
          </w:p>
          <w:p w:rsidR="0042058C" w:rsidRPr="0042058C" w:rsidRDefault="0042058C" w:rsidP="0009125E">
            <w:pPr>
              <w:widowControl w:val="0"/>
              <w:tabs>
                <w:tab w:val="left" w:pos="300"/>
              </w:tabs>
              <w:autoSpaceDE w:val="0"/>
              <w:autoSpaceDN w:val="0"/>
              <w:adjustRightInd w:val="0"/>
              <w:spacing w:after="0" w:line="240" w:lineRule="auto"/>
              <w:ind w:left="318"/>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низкий уровень зарплат высококвалифицированных кадров;</w:t>
            </w:r>
          </w:p>
          <w:p w:rsidR="0042058C" w:rsidRPr="0042058C" w:rsidRDefault="0042058C" w:rsidP="0009125E">
            <w:pPr>
              <w:widowControl w:val="0"/>
              <w:tabs>
                <w:tab w:val="left" w:pos="300"/>
              </w:tabs>
              <w:autoSpaceDE w:val="0"/>
              <w:autoSpaceDN w:val="0"/>
              <w:adjustRightInd w:val="0"/>
              <w:spacing w:after="0" w:line="240" w:lineRule="auto"/>
              <w:ind w:left="318"/>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отсутствие крупных предприятий, которые могли бы стать локомотивами развития промышленности.</w:t>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p>
        </w:tc>
      </w:tr>
    </w:tbl>
    <w:p w:rsidR="0042058C" w:rsidRPr="0042058C" w:rsidRDefault="0042058C" w:rsidP="00BA53A8">
      <w:pPr>
        <w:autoSpaceDE w:val="0"/>
        <w:autoSpaceDN w:val="0"/>
        <w:adjustRightInd w:val="0"/>
        <w:spacing w:after="0" w:line="240" w:lineRule="auto"/>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6</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Строительство.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строительном комплексе округа в 2019 г. темпы ввода жилья имели положительную динамику (рост на 16,7%) по сравнению с предыдущим периодом, но значительно отстают от большинства муниципальных образований края, уровень обеспеченности жильем находится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среднекраевом уровне. Обеспеченность жилищного фонда горячим водоснабжением, центральным отоплением, водопроводом и канализацией имеет значение выше среднекраевого, что связано с преобладанием частных домов в структуре жилищного фонда.</w:t>
      </w:r>
    </w:p>
    <w:p w:rsid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Показатель удельного веса жилищного фонда с износом свыше 66% остается стабильным последние три года и составляет 2,8 %. В районе реализуются подпрограмма «Устойчивое развитие сельских территорий»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которой в 2019 г. улучшили жилищные условия 2 семьи по категории «граждане, проживающие в сельской местности» в размере 1,5 млн. рублей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3 семьи по категории «молодые семьи и молодые специалисты» в размере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2,6 млн. рублей. Всего за отчетный период смогли улучшить свои жилищные условия 16 семей (14% от стоящих на учете), всего таких нуждающихся семей – 122.</w:t>
      </w:r>
    </w:p>
    <w:p w:rsidR="00BA53A8" w:rsidRPr="0042058C" w:rsidRDefault="00BA53A8"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4CFA2FE3" wp14:editId="350BE923">
            <wp:extent cx="5943600" cy="337947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Сравнение районов края по показателю ввода в действие жилья, м2 на 1000 населения</w:t>
      </w:r>
      <w:r w:rsidRPr="0042058C">
        <w:rPr>
          <w:rFonts w:ascii="Times New Roman" w:eastAsia="Times New Roman" w:hAnsi="Times New Roman" w:cs="Times New Roman"/>
          <w:noProof/>
          <w:sz w:val="28"/>
          <w:szCs w:val="28"/>
          <w:vertAlign w:val="superscript"/>
          <w:lang w:eastAsia="ru-RU"/>
        </w:rPr>
        <w:footnoteReference w:id="53"/>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24FBBD1B" wp14:editId="68928308">
            <wp:extent cx="4572000" cy="27432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Доля общей площади благоустроенного жилищного фонда в Труновском муниципальном округе в 2019 г., %</w:t>
      </w:r>
      <w:r w:rsidRPr="0042058C">
        <w:rPr>
          <w:rFonts w:ascii="Times New Roman" w:eastAsia="Times New Roman" w:hAnsi="Times New Roman" w:cs="Times New Roman"/>
          <w:noProof/>
          <w:sz w:val="28"/>
          <w:szCs w:val="28"/>
          <w:vertAlign w:val="superscript"/>
          <w:lang w:eastAsia="ru-RU"/>
        </w:rPr>
        <w:footnoteReference w:id="54"/>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57B9BC05" wp14:editId="0B6EFE29">
            <wp:extent cx="4965700" cy="2849245"/>
            <wp:effectExtent l="0" t="0" r="6350" b="825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19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Сравнение районов края по показателю обеспеченности населения жильем  по данным 2019 г.,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 на 1 жителя</w:t>
      </w:r>
      <w:r w:rsidRPr="0042058C">
        <w:rPr>
          <w:rFonts w:ascii="Times New Roman" w:eastAsia="Times New Roman" w:hAnsi="Times New Roman" w:cs="Times New Roman"/>
          <w:noProof/>
          <w:sz w:val="28"/>
          <w:szCs w:val="28"/>
          <w:vertAlign w:val="superscript"/>
          <w:lang w:eastAsia="ru-RU"/>
        </w:rPr>
        <w:footnoteReference w:id="55"/>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0" w:type="auto"/>
        <w:tblLook w:val="04A0" w:firstRow="1" w:lastRow="0" w:firstColumn="1" w:lastColumn="0" w:noHBand="0" w:noVBand="1"/>
      </w:tblPr>
      <w:tblGrid>
        <w:gridCol w:w="4786"/>
        <w:gridCol w:w="4673"/>
      </w:tblGrid>
      <w:tr w:rsidR="0042058C" w:rsidRPr="0042058C" w:rsidTr="0042058C">
        <w:tc>
          <w:tcPr>
            <w:tcW w:w="4786" w:type="dxa"/>
            <w:shd w:val="clear" w:color="auto" w:fill="auto"/>
          </w:tcPr>
          <w:p w:rsidR="0042058C" w:rsidRPr="0042058C" w:rsidRDefault="0042058C" w:rsidP="0042058C">
            <w:pPr>
              <w:spacing w:after="0"/>
              <w:ind w:right="317"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Потенциалы / Возможности:</w:t>
            </w:r>
          </w:p>
          <w:p w:rsidR="0042058C" w:rsidRPr="0042058C" w:rsidRDefault="0042058C" w:rsidP="0009125E">
            <w:pPr>
              <w:widowControl w:val="0"/>
              <w:tabs>
                <w:tab w:val="left" w:pos="300"/>
              </w:tabs>
              <w:autoSpaceDE w:val="0"/>
              <w:autoSpaceDN w:val="0"/>
              <w:adjustRightInd w:val="0"/>
              <w:spacing w:after="0" w:line="240" w:lineRule="auto"/>
              <w:ind w:righ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высокий ресурсный потенциал для развития индивидуального жилищного строительства;</w:t>
            </w:r>
          </w:p>
          <w:p w:rsidR="0042058C" w:rsidRPr="0042058C" w:rsidRDefault="0042058C" w:rsidP="0009125E">
            <w:pPr>
              <w:widowControl w:val="0"/>
              <w:tabs>
                <w:tab w:val="left" w:pos="300"/>
              </w:tabs>
              <w:autoSpaceDE w:val="0"/>
              <w:autoSpaceDN w:val="0"/>
              <w:adjustRightInd w:val="0"/>
              <w:spacing w:after="0" w:line="240" w:lineRule="auto"/>
              <w:ind w:righ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относительно низкий уровень износа жилищного фонда;</w:t>
            </w:r>
          </w:p>
          <w:p w:rsidR="0042058C" w:rsidRPr="0042058C" w:rsidRDefault="0042058C" w:rsidP="0009125E">
            <w:pPr>
              <w:widowControl w:val="0"/>
              <w:tabs>
                <w:tab w:val="left" w:pos="300"/>
              </w:tabs>
              <w:autoSpaceDE w:val="0"/>
              <w:autoSpaceDN w:val="0"/>
              <w:adjustRightInd w:val="0"/>
              <w:spacing w:after="0" w:line="240" w:lineRule="auto"/>
              <w:ind w:righ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высокий уровень благоустроенности жилищного фонда;</w:t>
            </w:r>
          </w:p>
          <w:p w:rsidR="0042058C" w:rsidRPr="0042058C" w:rsidRDefault="0042058C" w:rsidP="0009125E">
            <w:pPr>
              <w:widowControl w:val="0"/>
              <w:tabs>
                <w:tab w:val="left" w:pos="300"/>
              </w:tabs>
              <w:autoSpaceDE w:val="0"/>
              <w:autoSpaceDN w:val="0"/>
              <w:adjustRightInd w:val="0"/>
              <w:spacing w:after="0" w:line="240" w:lineRule="auto"/>
              <w:ind w:right="317"/>
              <w:jc w:val="both"/>
              <w:rPr>
                <w:rFonts w:ascii="Times New Roman" w:eastAsia="Calibri" w:hAnsi="Times New Roman" w:cs="Times New Roman"/>
                <w:color w:val="000000"/>
                <w:sz w:val="28"/>
                <w:szCs w:val="28"/>
              </w:rPr>
            </w:pPr>
            <w:r w:rsidRPr="0042058C">
              <w:rPr>
                <w:rFonts w:ascii="Times New Roman" w:eastAsia="Calibri" w:hAnsi="Times New Roman" w:cs="Times New Roman"/>
                <w:sz w:val="28"/>
                <w:szCs w:val="28"/>
                <w:lang w:eastAsia="x-none"/>
              </w:rPr>
              <w:t>участие округа в государственных программах по улучшению жилищных условий.</w:t>
            </w:r>
          </w:p>
        </w:tc>
        <w:tc>
          <w:tcPr>
            <w:tcW w:w="4673" w:type="dxa"/>
            <w:shd w:val="clear" w:color="auto" w:fill="auto"/>
          </w:tcPr>
          <w:p w:rsidR="0042058C" w:rsidRPr="0042058C" w:rsidRDefault="0042058C" w:rsidP="0042058C">
            <w:pPr>
              <w:spacing w:after="0"/>
              <w:ind w:left="-108" w:firstLine="817"/>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Проблемы / Риски:</w:t>
            </w:r>
          </w:p>
          <w:p w:rsidR="0042058C" w:rsidRPr="0042058C" w:rsidRDefault="0042058C" w:rsidP="0009125E">
            <w:pPr>
              <w:widowControl w:val="0"/>
              <w:tabs>
                <w:tab w:val="left" w:pos="300"/>
              </w:tabs>
              <w:autoSpaceDE w:val="0"/>
              <w:autoSpaceDN w:val="0"/>
              <w:adjustRightInd w:val="0"/>
              <w:spacing w:after="0" w:line="240" w:lineRule="auto"/>
              <w:ind w:lef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низкая доля участия государства в жилищном строительстве;</w:t>
            </w:r>
          </w:p>
          <w:p w:rsidR="0042058C" w:rsidRPr="0042058C" w:rsidRDefault="0042058C" w:rsidP="0009125E">
            <w:pPr>
              <w:widowControl w:val="0"/>
              <w:tabs>
                <w:tab w:val="left" w:pos="300"/>
              </w:tabs>
              <w:autoSpaceDE w:val="0"/>
              <w:autoSpaceDN w:val="0"/>
              <w:adjustRightInd w:val="0"/>
              <w:spacing w:after="0" w:line="240" w:lineRule="auto"/>
              <w:ind w:lef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низкий уровень экономической активности в отрасли субъектов малого и среднего бизнеса;</w:t>
            </w:r>
          </w:p>
          <w:p w:rsidR="0042058C" w:rsidRPr="0042058C" w:rsidRDefault="0042058C" w:rsidP="0009125E">
            <w:pPr>
              <w:widowControl w:val="0"/>
              <w:tabs>
                <w:tab w:val="left" w:pos="300"/>
              </w:tabs>
              <w:autoSpaceDE w:val="0"/>
              <w:autoSpaceDN w:val="0"/>
              <w:adjustRightInd w:val="0"/>
              <w:spacing w:after="0" w:line="240" w:lineRule="auto"/>
              <w:ind w:left="317"/>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высокая цена на услуги естественных монополий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 xml:space="preserve">и сложность административных процедур в получении разрешений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на строительство;</w:t>
            </w:r>
          </w:p>
          <w:p w:rsidR="0042058C" w:rsidRPr="0042058C" w:rsidRDefault="0042058C" w:rsidP="0009125E">
            <w:pPr>
              <w:widowControl w:val="0"/>
              <w:tabs>
                <w:tab w:val="left" w:pos="300"/>
              </w:tabs>
              <w:autoSpaceDE w:val="0"/>
              <w:autoSpaceDN w:val="0"/>
              <w:adjustRightInd w:val="0"/>
              <w:spacing w:after="0" w:line="240" w:lineRule="auto"/>
              <w:ind w:left="317"/>
              <w:jc w:val="both"/>
              <w:rPr>
                <w:rFonts w:ascii="Times New Roman" w:eastAsia="Calibri" w:hAnsi="Times New Roman" w:cs="Times New Roman"/>
                <w:color w:val="000000"/>
                <w:sz w:val="28"/>
                <w:szCs w:val="28"/>
              </w:rPr>
            </w:pPr>
            <w:r w:rsidRPr="0042058C">
              <w:rPr>
                <w:rFonts w:ascii="Times New Roman" w:eastAsia="Calibri" w:hAnsi="Times New Roman" w:cs="Times New Roman"/>
                <w:sz w:val="28"/>
                <w:szCs w:val="28"/>
                <w:lang w:eastAsia="x-none"/>
              </w:rPr>
              <w:t>неустойчивые темпы роста ввода жилья и строительно-монтажных работ.</w:t>
            </w: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7</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Малое и среднее предпринимательство.</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2019 г. в округе функционирует 1380 субъекта малого и среднего бизнеса, из них 258 юридических лица и 1122 субъектов, осуществляющих хозяйственную деятельность без образования юридического лица (в то числе 1002 индивидуальных предпринимателя и 116 глав крестьянских (фермерских) хозяйств) или 81,3% от общего числа. Большинство субъектов МСБ действует в сфере услуг и сельском хозяйстве. За последние 6 лет сформировалась разнонаправленная тенденция числа предпринимателей. Это связано с волатильностью в экономике, ростом конкуренции, усилением государственного контроля за деятельностью предпринимателей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укрупнением бизнеса.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3C19256A" wp14:editId="2BBD2807">
            <wp:extent cx="5942330" cy="2722245"/>
            <wp:effectExtent l="0" t="0" r="1270" b="190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численности индивидуальных предпринимателей в Труновском муниципальном округе в 2014-2019 гг., % руб.</w:t>
      </w:r>
      <w:r w:rsidRPr="0042058C">
        <w:rPr>
          <w:rFonts w:ascii="Times New Roman" w:eastAsia="Times New Roman" w:hAnsi="Times New Roman" w:cs="Times New Roman"/>
          <w:noProof/>
          <w:sz w:val="28"/>
          <w:szCs w:val="28"/>
          <w:vertAlign w:val="superscript"/>
          <w:lang w:eastAsia="ru-RU"/>
        </w:rPr>
        <w:footnoteReference w:id="56"/>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Особую роль в развитии сектора малого и среднего бизнеса играет государственная поддержка. За исследуемый период была оказана поддержка: микрозайм в НО МК «Фонд микрофинансирования субъектов малого и среднего предпринимательства в Ставропольском крае» в размере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3 млн. рублей; поручительство в ГУП СК «Гарантийный фонд поддержки субъектов малого и среднего предпринимательства в Ставропольском крае»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размере 2 млн. 100 тыс. рублей; 59 субъектов предпринимательства получили поддержку в Фонде поддержки предпринимательства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Ставропольском крае; 4 безработным гражданам через ГКУ «Центр занятости населения Труновского района» выдана единовременная финансовая помощь из средств бюджета Ставропольского края на общую сумму 300,8 тыс. рублей на организацию собственного бизнеса.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tbl>
      <w:tblPr>
        <w:tblW w:w="9345" w:type="dxa"/>
        <w:tblCellSpacing w:w="15" w:type="dxa"/>
        <w:tblCellMar>
          <w:top w:w="15" w:type="dxa"/>
          <w:left w:w="15" w:type="dxa"/>
          <w:bottom w:w="15" w:type="dxa"/>
          <w:right w:w="15" w:type="dxa"/>
        </w:tblCellMar>
        <w:tblLook w:val="04A0" w:firstRow="1" w:lastRow="0" w:firstColumn="1" w:lastColumn="0" w:noHBand="0" w:noVBand="1"/>
      </w:tblPr>
      <w:tblGrid>
        <w:gridCol w:w="4440"/>
        <w:gridCol w:w="4905"/>
      </w:tblGrid>
      <w:tr w:rsidR="0042058C" w:rsidRPr="0042058C" w:rsidTr="0042058C">
        <w:trPr>
          <w:trHeight w:val="3480"/>
          <w:tblCellSpacing w:w="15" w:type="dxa"/>
        </w:trPr>
        <w:tc>
          <w:tcPr>
            <w:tcW w:w="4395" w:type="dxa"/>
            <w:hideMark/>
          </w:tcPr>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bCs/>
                <w:sz w:val="28"/>
                <w:szCs w:val="28"/>
              </w:rPr>
              <w:t>Потенциалы / Возможности</w:t>
            </w:r>
          </w:p>
          <w:p w:rsidR="0042058C" w:rsidRPr="0042058C" w:rsidRDefault="0042058C" w:rsidP="0009125E">
            <w:pPr>
              <w:widowControl w:val="0"/>
              <w:tabs>
                <w:tab w:val="left" w:pos="0"/>
              </w:tabs>
              <w:autoSpaceDE w:val="0"/>
              <w:autoSpaceDN w:val="0"/>
              <w:adjustRightInd w:val="0"/>
              <w:spacing w:after="160" w:line="240" w:lineRule="auto"/>
              <w:jc w:val="both"/>
              <w:rPr>
                <w:rFonts w:ascii="Times New Roman" w:eastAsia="Times New Roman" w:hAnsi="Times New Roman" w:cs="Times New Roman"/>
                <w:sz w:val="28"/>
                <w:szCs w:val="28"/>
                <w:lang w:eastAsia="x-none"/>
              </w:rPr>
            </w:pPr>
            <w:r w:rsidRPr="0042058C">
              <w:rPr>
                <w:rFonts w:ascii="Times New Roman" w:eastAsia="Times New Roman" w:hAnsi="Times New Roman" w:cs="Times New Roman"/>
                <w:sz w:val="28"/>
                <w:szCs w:val="28"/>
                <w:lang w:eastAsia="x-none"/>
              </w:rPr>
              <w:t>рост численности субъектов МСБ за счет более активно участия предпринимателей округа в программах государственной поддержки краевого и федерального уровней;</w:t>
            </w:r>
          </w:p>
          <w:p w:rsidR="0042058C" w:rsidRPr="0042058C" w:rsidRDefault="0042058C" w:rsidP="0009125E">
            <w:pPr>
              <w:widowControl w:val="0"/>
              <w:tabs>
                <w:tab w:val="left" w:pos="0"/>
              </w:tabs>
              <w:autoSpaceDE w:val="0"/>
              <w:autoSpaceDN w:val="0"/>
              <w:adjustRightInd w:val="0"/>
              <w:spacing w:after="160" w:line="240" w:lineRule="auto"/>
              <w:jc w:val="both"/>
              <w:rPr>
                <w:rFonts w:ascii="Times New Roman" w:eastAsia="Times New Roman" w:hAnsi="Times New Roman" w:cs="Times New Roman"/>
                <w:sz w:val="28"/>
                <w:szCs w:val="28"/>
                <w:lang w:eastAsia="x-none"/>
              </w:rPr>
            </w:pPr>
            <w:r w:rsidRPr="0042058C">
              <w:rPr>
                <w:rFonts w:ascii="Times New Roman" w:eastAsia="Times New Roman" w:hAnsi="Times New Roman" w:cs="Times New Roman"/>
                <w:sz w:val="28"/>
                <w:szCs w:val="28"/>
                <w:lang w:eastAsia="x-none"/>
              </w:rPr>
              <w:t>увеличение бюджетных доходов и снижение уровня теневой экономики за счет введения специальных налоговых режимов;</w:t>
            </w:r>
          </w:p>
          <w:p w:rsidR="0042058C" w:rsidRPr="0042058C" w:rsidRDefault="0042058C" w:rsidP="0009125E">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rPr>
            </w:pPr>
            <w:r w:rsidRPr="0042058C">
              <w:rPr>
                <w:rFonts w:ascii="Times New Roman" w:eastAsia="Times New Roman" w:hAnsi="Times New Roman" w:cs="Times New Roman"/>
                <w:sz w:val="28"/>
                <w:szCs w:val="28"/>
                <w:lang w:eastAsia="x-none"/>
              </w:rPr>
              <w:t>высокий потенциал развития предпринимательства в сфере агробизнеса (овощеводство, плодоводство и др.).</w:t>
            </w:r>
          </w:p>
        </w:tc>
        <w:tc>
          <w:tcPr>
            <w:tcW w:w="4860" w:type="dxa"/>
            <w:hideMark/>
          </w:tcPr>
          <w:p w:rsidR="0042058C" w:rsidRPr="0042058C" w:rsidRDefault="0042058C" w:rsidP="0042058C">
            <w:pPr>
              <w:spacing w:after="0"/>
              <w:ind w:left="253" w:firstLine="709"/>
              <w:jc w:val="both"/>
              <w:rPr>
                <w:rFonts w:ascii="Times New Roman" w:eastAsia="Calibri" w:hAnsi="Times New Roman" w:cs="Times New Roman"/>
                <w:sz w:val="28"/>
                <w:szCs w:val="28"/>
              </w:rPr>
            </w:pPr>
            <w:r w:rsidRPr="0042058C">
              <w:rPr>
                <w:rFonts w:ascii="Times New Roman" w:eastAsia="Calibri" w:hAnsi="Times New Roman" w:cs="Times New Roman"/>
                <w:bCs/>
                <w:sz w:val="28"/>
                <w:szCs w:val="28"/>
              </w:rPr>
              <w:t>Проблемы / Риски:</w:t>
            </w:r>
          </w:p>
          <w:p w:rsidR="0042058C" w:rsidRPr="0042058C" w:rsidRDefault="0042058C" w:rsidP="0009125E">
            <w:pPr>
              <w:widowControl w:val="0"/>
              <w:tabs>
                <w:tab w:val="left" w:pos="300"/>
              </w:tabs>
              <w:autoSpaceDE w:val="0"/>
              <w:autoSpaceDN w:val="0"/>
              <w:adjustRightInd w:val="0"/>
              <w:spacing w:after="160" w:line="240" w:lineRule="auto"/>
              <w:ind w:left="678"/>
              <w:jc w:val="both"/>
              <w:rPr>
                <w:rFonts w:ascii="Times New Roman" w:eastAsia="Times New Roman" w:hAnsi="Times New Roman" w:cs="Times New Roman"/>
                <w:sz w:val="28"/>
                <w:szCs w:val="28"/>
                <w:lang w:eastAsia="x-none"/>
              </w:rPr>
            </w:pPr>
            <w:r w:rsidRPr="0042058C">
              <w:rPr>
                <w:rFonts w:ascii="Times New Roman" w:eastAsia="Times New Roman" w:hAnsi="Times New Roman" w:cs="Times New Roman"/>
                <w:sz w:val="28"/>
                <w:szCs w:val="28"/>
                <w:lang w:eastAsia="x-none"/>
              </w:rPr>
              <w:t xml:space="preserve">стагнация уровня доходов </w:t>
            </w:r>
            <w:r w:rsidR="00BA53A8">
              <w:rPr>
                <w:rFonts w:ascii="Times New Roman" w:eastAsia="Times New Roman" w:hAnsi="Times New Roman" w:cs="Times New Roman"/>
                <w:sz w:val="28"/>
                <w:szCs w:val="28"/>
                <w:lang w:eastAsia="x-none"/>
              </w:rPr>
              <w:t xml:space="preserve"> </w:t>
            </w:r>
            <w:r w:rsidRPr="0042058C">
              <w:rPr>
                <w:rFonts w:ascii="Times New Roman" w:eastAsia="Times New Roman" w:hAnsi="Times New Roman" w:cs="Times New Roman"/>
                <w:sz w:val="28"/>
                <w:szCs w:val="28"/>
                <w:lang w:eastAsia="x-none"/>
              </w:rPr>
              <w:t>и увеличение оттока активной части населения;</w:t>
            </w:r>
          </w:p>
          <w:p w:rsidR="0042058C" w:rsidRPr="0042058C" w:rsidRDefault="0042058C" w:rsidP="0009125E">
            <w:pPr>
              <w:widowControl w:val="0"/>
              <w:tabs>
                <w:tab w:val="left" w:pos="300"/>
              </w:tabs>
              <w:autoSpaceDE w:val="0"/>
              <w:autoSpaceDN w:val="0"/>
              <w:adjustRightInd w:val="0"/>
              <w:spacing w:after="160" w:line="240" w:lineRule="auto"/>
              <w:ind w:left="678"/>
              <w:jc w:val="both"/>
              <w:rPr>
                <w:rFonts w:ascii="Times New Roman" w:eastAsia="Times New Roman" w:hAnsi="Times New Roman" w:cs="Times New Roman"/>
                <w:sz w:val="28"/>
                <w:szCs w:val="28"/>
                <w:lang w:eastAsia="x-none"/>
              </w:rPr>
            </w:pPr>
            <w:r w:rsidRPr="0042058C">
              <w:rPr>
                <w:rFonts w:ascii="Times New Roman" w:eastAsia="Times New Roman" w:hAnsi="Times New Roman" w:cs="Times New Roman"/>
                <w:sz w:val="28"/>
                <w:szCs w:val="28"/>
                <w:lang w:eastAsia="x-none"/>
              </w:rPr>
              <w:t>недостаточный уровень информационного взаимодействия между администрацией муниципального округа и бизнесом;</w:t>
            </w:r>
          </w:p>
          <w:p w:rsidR="0042058C" w:rsidRPr="0042058C" w:rsidRDefault="0042058C" w:rsidP="0009125E">
            <w:pPr>
              <w:widowControl w:val="0"/>
              <w:tabs>
                <w:tab w:val="left" w:pos="300"/>
              </w:tabs>
              <w:autoSpaceDE w:val="0"/>
              <w:autoSpaceDN w:val="0"/>
              <w:adjustRightInd w:val="0"/>
              <w:spacing w:after="160" w:line="240" w:lineRule="auto"/>
              <w:ind w:left="678"/>
              <w:jc w:val="both"/>
              <w:rPr>
                <w:rFonts w:ascii="Times New Roman" w:eastAsia="Calibri" w:hAnsi="Times New Roman" w:cs="Times New Roman"/>
                <w:sz w:val="28"/>
                <w:szCs w:val="28"/>
              </w:rPr>
            </w:pPr>
            <w:r w:rsidRPr="0042058C">
              <w:rPr>
                <w:rFonts w:ascii="Times New Roman" w:eastAsia="Times New Roman" w:hAnsi="Times New Roman" w:cs="Times New Roman"/>
                <w:sz w:val="28"/>
                <w:szCs w:val="28"/>
                <w:lang w:eastAsia="x-none"/>
              </w:rPr>
              <w:t>неразвитость социального предпринимательства и рынка социальных услуг.</w:t>
            </w:r>
          </w:p>
        </w:tc>
      </w:tr>
    </w:tbl>
    <w:p w:rsidR="0042058C" w:rsidRPr="0042058C" w:rsidRDefault="0042058C" w:rsidP="00BA53A8">
      <w:pPr>
        <w:autoSpaceDE w:val="0"/>
        <w:autoSpaceDN w:val="0"/>
        <w:adjustRightInd w:val="0"/>
        <w:spacing w:after="0" w:line="240" w:lineRule="auto"/>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8</w:t>
      </w:r>
      <w:r w:rsidR="0009125E">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Потребительский рынок и сфера услуг.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номинальном выражении за последние пять лет в округе наблюдается устойчивый положительный тренд в предоставлении платных услуг населению. Основная часть объектов общественного питания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бытового обслуживания сосредоточена в с. Донском, где населению оказываются все социально-значимые виды услуг. Основным сдерживающим фактором развития сферы услуг является стагнация доходов населения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низкий платежеспособный спрос, особенно в отдаленных от центра сельских поселениях. Показатель объема платных услуг в расчете на душу населения в целом соответствует уроню муниципальных образований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преобладающим сельским населением, но почти в четыре раза отстает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среднекраевого уровня.</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12B56A30" wp14:editId="54B77E84">
            <wp:extent cx="4572000" cy="251968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21</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предоставления платных услуг населению, млн. руб.</w:t>
      </w:r>
      <w:r w:rsidRPr="0042058C">
        <w:rPr>
          <w:rFonts w:ascii="Times New Roman" w:eastAsia="Times New Roman" w:hAnsi="Times New Roman" w:cs="Times New Roman"/>
          <w:noProof/>
          <w:sz w:val="28"/>
          <w:szCs w:val="28"/>
          <w:vertAlign w:val="superscript"/>
          <w:lang w:eastAsia="ru-RU"/>
        </w:rPr>
        <w:footnoteReference w:id="57"/>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1E7D67F2" wp14:editId="4C096829">
            <wp:extent cx="5612130" cy="2169160"/>
            <wp:effectExtent l="0" t="0" r="26670" b="2159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Объем платных услуг в расчете на душу населения, тыс. руб.</w:t>
      </w:r>
      <w:r w:rsidRPr="0042058C">
        <w:rPr>
          <w:rFonts w:ascii="Times New Roman" w:eastAsia="Times New Roman" w:hAnsi="Times New Roman" w:cs="Times New Roman"/>
          <w:noProof/>
          <w:sz w:val="28"/>
          <w:szCs w:val="28"/>
          <w:vertAlign w:val="superscript"/>
          <w:lang w:eastAsia="ru-RU"/>
        </w:rPr>
        <w:footnoteReference w:id="58"/>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2019 г. в округе функционировали 319 объектов розничной торговли: 121 продовольственных магазинов, 161 промышленных и 37 смешанный, более 80 % предпринимателей вовлечены в эту сферу деятельности. Продукция местных производителей реализуется преимущественно через мелкорозничную торговлю и сетевые магазины, ряд производителей имеют собственные магазины, на территории округа функционирует                                   5 супермаркетов. Торговая площадь за 2019 год составила 17,2 тыс. кв. метров или 563,5 кв. м. на 1000 человек населения, что в 2,5 раза выше норматива минимальной обеспеченности населения Труновского муниципального округа стационарными торговыми объектами.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Округ участвует в программе «Покупай Ставропольское» для чего проводятся ярмарки и выставки. В настоящее время на территории Труновского муниципального округа Ставропольского края осуществляют свою деятельность четыре регулярных ярмарки: с. Донское – МУП ТМО «Славянский», пос. им. Кирова – МУП ТМО «Славянский», с. Труновское – ООО «Атлас», с. Безопасное – ИП Коломыцева О.Н. Оборот розничной торговли на душу населения в Округе превышает средний уровень муниципальных образований с преобладающей долей сельского населения, но значительно уступает городским агломерациям.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1FEDBE0B" wp14:editId="7EA07AF8">
            <wp:extent cx="4572000" cy="223012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23</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физического объема розничной торговли в Труновском муниципальном округе, млн. руб.</w:t>
      </w:r>
      <w:r w:rsidRPr="0042058C">
        <w:rPr>
          <w:rFonts w:ascii="Times New Roman" w:eastAsia="Times New Roman" w:hAnsi="Times New Roman" w:cs="Times New Roman"/>
          <w:noProof/>
          <w:sz w:val="28"/>
          <w:szCs w:val="28"/>
          <w:vertAlign w:val="superscript"/>
          <w:lang w:eastAsia="ru-RU"/>
        </w:rPr>
        <w:footnoteReference w:id="59"/>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6D9A672A" wp14:editId="5774A5D3">
            <wp:extent cx="4601210" cy="2305685"/>
            <wp:effectExtent l="0" t="0" r="889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2058C">
        <w:rPr>
          <w:rFonts w:ascii="Times New Roman" w:eastAsia="Times New Roman" w:hAnsi="Times New Roman" w:cs="Times New Roman"/>
          <w:noProof/>
          <w:sz w:val="28"/>
          <w:szCs w:val="28"/>
          <w:lang w:eastAsia="ru-RU"/>
        </w:rPr>
        <w:t xml:space="preserve"> </w:t>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Оборот розничной торговли на душу населения в муниципальных образованиях Ставропольского края в 2019 г., тыс. руб.</w:t>
      </w:r>
      <w:r w:rsidRPr="0042058C">
        <w:rPr>
          <w:rFonts w:ascii="Times New Roman" w:eastAsia="Times New Roman" w:hAnsi="Times New Roman" w:cs="Times New Roman"/>
          <w:noProof/>
          <w:sz w:val="28"/>
          <w:szCs w:val="28"/>
          <w:vertAlign w:val="superscript"/>
          <w:lang w:eastAsia="ru-RU"/>
        </w:rPr>
        <w:footnoteReference w:id="60"/>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10031" w:type="dxa"/>
        <w:tblLook w:val="04A0" w:firstRow="1" w:lastRow="0" w:firstColumn="1" w:lastColumn="0" w:noHBand="0" w:noVBand="1"/>
      </w:tblPr>
      <w:tblGrid>
        <w:gridCol w:w="4503"/>
        <w:gridCol w:w="5528"/>
      </w:tblGrid>
      <w:tr w:rsidR="0042058C" w:rsidRPr="0042058C" w:rsidTr="0042058C">
        <w:tc>
          <w:tcPr>
            <w:tcW w:w="4503" w:type="dxa"/>
            <w:shd w:val="clear" w:color="auto" w:fill="auto"/>
          </w:tcPr>
          <w:p w:rsidR="0042058C" w:rsidRPr="0042058C" w:rsidRDefault="0042058C" w:rsidP="0042058C">
            <w:pPr>
              <w:spacing w:after="0" w:line="257" w:lineRule="auto"/>
              <w:ind w:firstLine="709"/>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Потенциалы / Возможности:</w:t>
            </w:r>
          </w:p>
          <w:p w:rsidR="0042058C" w:rsidRPr="0042058C" w:rsidRDefault="0042058C" w:rsidP="00E413C8">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наличие региональных торговых сетей, регулярное проведение ярмарок и наличие мест нерегулярной торговли;</w:t>
            </w:r>
          </w:p>
          <w:p w:rsidR="0042058C" w:rsidRPr="0042058C" w:rsidRDefault="0042058C" w:rsidP="00E413C8">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развитая торговая инфраструктура и высокий уровень обеспеченности торговыми площадями;</w:t>
            </w:r>
          </w:p>
          <w:p w:rsidR="0042058C" w:rsidRPr="0042058C" w:rsidRDefault="0042058C" w:rsidP="00E413C8">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устойчивые темпы роста оборота розничной торговли. </w:t>
            </w:r>
          </w:p>
          <w:p w:rsidR="0042058C" w:rsidRPr="0042058C" w:rsidRDefault="0042058C" w:rsidP="00E413C8">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возможности сокращения теневого сектора в сфере услуг за счет введения режима налогообложения самозанятого населения;</w:t>
            </w:r>
          </w:p>
          <w:p w:rsidR="0042058C" w:rsidRPr="0042058C" w:rsidRDefault="0042058C" w:rsidP="00E413C8">
            <w:pPr>
              <w:widowControl w:val="0"/>
              <w:tabs>
                <w:tab w:val="left" w:pos="300"/>
              </w:tabs>
              <w:autoSpaceDE w:val="0"/>
              <w:autoSpaceDN w:val="0"/>
              <w:adjustRightInd w:val="0"/>
              <w:spacing w:after="0" w:line="240" w:lineRule="auto"/>
              <w:jc w:val="both"/>
              <w:rPr>
                <w:rFonts w:ascii="Times New Roman" w:eastAsia="Calibri" w:hAnsi="Times New Roman" w:cs="Times New Roman"/>
                <w:sz w:val="28"/>
                <w:szCs w:val="28"/>
              </w:rPr>
            </w:pPr>
            <w:r w:rsidRPr="0042058C">
              <w:rPr>
                <w:rFonts w:ascii="Times New Roman" w:eastAsia="Calibri" w:hAnsi="Times New Roman" w:cs="Times New Roman"/>
                <w:sz w:val="28"/>
                <w:szCs w:val="28"/>
                <w:lang w:eastAsia="x-none"/>
              </w:rPr>
              <w:t>возможность расширения ассортимента оказываемых услуг в сельской местности за счет участия в реализации федеральной программы «Устойчивое развитие сельских территорий».</w:t>
            </w:r>
          </w:p>
        </w:tc>
        <w:tc>
          <w:tcPr>
            <w:tcW w:w="5528" w:type="dxa"/>
            <w:shd w:val="clear" w:color="auto" w:fill="auto"/>
          </w:tcPr>
          <w:p w:rsidR="0042058C" w:rsidRPr="0042058C" w:rsidRDefault="0042058C" w:rsidP="0042058C">
            <w:pPr>
              <w:spacing w:after="0" w:line="257" w:lineRule="auto"/>
              <w:ind w:left="175" w:right="459" w:firstLine="742"/>
              <w:rPr>
                <w:rFonts w:ascii="Times New Roman" w:eastAsia="Calibri" w:hAnsi="Times New Roman" w:cs="Times New Roman"/>
                <w:color w:val="000000"/>
                <w:sz w:val="28"/>
                <w:szCs w:val="28"/>
              </w:rPr>
            </w:pPr>
            <w:r w:rsidRPr="0042058C">
              <w:rPr>
                <w:rFonts w:ascii="Times New Roman" w:eastAsia="Calibri" w:hAnsi="Times New Roman" w:cs="Times New Roman"/>
                <w:color w:val="000000"/>
                <w:sz w:val="28"/>
                <w:szCs w:val="28"/>
              </w:rPr>
              <w:t>Проблемы / Риски:</w:t>
            </w:r>
          </w:p>
          <w:p w:rsidR="0042058C" w:rsidRPr="0042058C" w:rsidRDefault="0042058C" w:rsidP="00E413C8">
            <w:pPr>
              <w:widowControl w:val="0"/>
              <w:tabs>
                <w:tab w:val="left" w:pos="300"/>
              </w:tabs>
              <w:autoSpaceDE w:val="0"/>
              <w:autoSpaceDN w:val="0"/>
              <w:adjustRightInd w:val="0"/>
              <w:spacing w:after="0" w:line="240" w:lineRule="auto"/>
              <w:ind w:left="317" w:right="459"/>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высокий уровень конкуренции </w:t>
            </w:r>
            <w:r w:rsidR="00E413C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со стороны федеральных торговых сетей и угроза монополизации розничной торговли;</w:t>
            </w:r>
          </w:p>
          <w:p w:rsidR="0042058C" w:rsidRPr="0042058C" w:rsidRDefault="0042058C" w:rsidP="00E413C8">
            <w:pPr>
              <w:widowControl w:val="0"/>
              <w:tabs>
                <w:tab w:val="left" w:pos="300"/>
              </w:tabs>
              <w:autoSpaceDE w:val="0"/>
              <w:autoSpaceDN w:val="0"/>
              <w:adjustRightInd w:val="0"/>
              <w:spacing w:after="0" w:line="240" w:lineRule="auto"/>
              <w:ind w:left="317" w:right="459"/>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высокая зависимость </w:t>
            </w:r>
            <w:r w:rsidR="00BA53A8">
              <w:rPr>
                <w:rFonts w:ascii="Times New Roman" w:eastAsia="Calibri" w:hAnsi="Times New Roman" w:cs="Times New Roman"/>
                <w:sz w:val="28"/>
                <w:szCs w:val="28"/>
                <w:lang w:eastAsia="x-none"/>
              </w:rPr>
              <w:t xml:space="preserve">                 </w:t>
            </w:r>
            <w:r w:rsidR="00E413C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от региональной и федеральной рыночной конъюнктуры;</w:t>
            </w:r>
          </w:p>
          <w:p w:rsidR="0042058C" w:rsidRPr="0042058C" w:rsidRDefault="0042058C" w:rsidP="00E413C8">
            <w:pPr>
              <w:widowControl w:val="0"/>
              <w:tabs>
                <w:tab w:val="left" w:pos="300"/>
              </w:tabs>
              <w:autoSpaceDE w:val="0"/>
              <w:autoSpaceDN w:val="0"/>
              <w:adjustRightInd w:val="0"/>
              <w:spacing w:after="0" w:line="240" w:lineRule="auto"/>
              <w:ind w:left="317" w:right="459"/>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низкий потенциал интенсивного роста розничной торговли вследствие стагнации платежеспособного спроса населения. </w:t>
            </w:r>
          </w:p>
          <w:p w:rsidR="0042058C" w:rsidRPr="0042058C" w:rsidRDefault="0042058C" w:rsidP="00E413C8">
            <w:pPr>
              <w:widowControl w:val="0"/>
              <w:tabs>
                <w:tab w:val="left" w:pos="300"/>
              </w:tabs>
              <w:autoSpaceDE w:val="0"/>
              <w:autoSpaceDN w:val="0"/>
              <w:adjustRightInd w:val="0"/>
              <w:spacing w:after="0" w:line="240" w:lineRule="auto"/>
              <w:ind w:left="317" w:right="459"/>
              <w:jc w:val="both"/>
              <w:rPr>
                <w:rFonts w:ascii="Times New Roman" w:eastAsia="Calibri" w:hAnsi="Times New Roman" w:cs="Times New Roman"/>
                <w:sz w:val="28"/>
                <w:szCs w:val="28"/>
                <w:lang w:eastAsia="x-none"/>
              </w:rPr>
            </w:pPr>
            <w:r w:rsidRPr="0042058C">
              <w:rPr>
                <w:rFonts w:ascii="Times New Roman" w:eastAsia="Calibri" w:hAnsi="Times New Roman" w:cs="Times New Roman"/>
                <w:sz w:val="28"/>
                <w:szCs w:val="28"/>
                <w:lang w:eastAsia="x-none"/>
              </w:rPr>
              <w:t xml:space="preserve">снижение темпов роста </w:t>
            </w:r>
            <w:r w:rsidR="00BA53A8">
              <w:rPr>
                <w:rFonts w:ascii="Times New Roman" w:eastAsia="Calibri" w:hAnsi="Times New Roman" w:cs="Times New Roman"/>
                <w:sz w:val="28"/>
                <w:szCs w:val="28"/>
                <w:lang w:eastAsia="x-none"/>
              </w:rPr>
              <w:t xml:space="preserve">            </w:t>
            </w:r>
            <w:r w:rsidR="00E413C8">
              <w:rPr>
                <w:rFonts w:ascii="Times New Roman" w:eastAsia="Calibri" w:hAnsi="Times New Roman" w:cs="Times New Roman"/>
                <w:sz w:val="28"/>
                <w:szCs w:val="28"/>
                <w:lang w:eastAsia="x-none"/>
              </w:rPr>
              <w:t xml:space="preserve">                  </w:t>
            </w:r>
            <w:r w:rsidR="00BA53A8">
              <w:rPr>
                <w:rFonts w:ascii="Times New Roman" w:eastAsia="Calibri" w:hAnsi="Times New Roman" w:cs="Times New Roman"/>
                <w:sz w:val="28"/>
                <w:szCs w:val="28"/>
                <w:lang w:eastAsia="x-none"/>
              </w:rPr>
              <w:t xml:space="preserve"> </w:t>
            </w:r>
            <w:r w:rsidRPr="0042058C">
              <w:rPr>
                <w:rFonts w:ascii="Times New Roman" w:eastAsia="Calibri" w:hAnsi="Times New Roman" w:cs="Times New Roman"/>
                <w:sz w:val="28"/>
                <w:szCs w:val="28"/>
                <w:lang w:eastAsia="x-none"/>
              </w:rPr>
              <w:t>в сфере услуг из-за сокращения платежеспособного спроса населения;</w:t>
            </w:r>
          </w:p>
          <w:p w:rsidR="0042058C" w:rsidRPr="0042058C" w:rsidRDefault="0042058C" w:rsidP="00E413C8">
            <w:pPr>
              <w:widowControl w:val="0"/>
              <w:tabs>
                <w:tab w:val="left" w:pos="300"/>
              </w:tabs>
              <w:autoSpaceDE w:val="0"/>
              <w:autoSpaceDN w:val="0"/>
              <w:adjustRightInd w:val="0"/>
              <w:spacing w:after="0" w:line="240" w:lineRule="auto"/>
              <w:ind w:left="317" w:right="45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lang w:eastAsia="x-none"/>
              </w:rPr>
              <w:t>низкий уровень конкурентоспособности организации деятельности на предприятиях сферы услуг в сельских поселениях.</w:t>
            </w: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9. 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удовлетворение общественных потребностей граждан соответственно установленным показателям качества жизни.</w:t>
      </w:r>
    </w:p>
    <w:p w:rsidR="00E413C8" w:rsidRDefault="0042058C" w:rsidP="00E413C8">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Важными задачами проекта генерального плана муниципального округа в контексте планирования и развития социа</w:t>
      </w:r>
      <w:r w:rsidR="00E413C8">
        <w:rPr>
          <w:rFonts w:ascii="Times New Roman" w:eastAsia="Times New Roman" w:hAnsi="Times New Roman" w:cs="Times New Roman"/>
          <w:noProof/>
          <w:sz w:val="28"/>
          <w:szCs w:val="28"/>
          <w:lang w:eastAsia="ru-RU"/>
        </w:rPr>
        <w:t xml:space="preserve">льной инфраструктуры являются: </w:t>
      </w:r>
    </w:p>
    <w:p w:rsidR="00E413C8" w:rsidRDefault="0042058C" w:rsidP="00E413C8">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анализ территориального размеще</w:t>
      </w:r>
      <w:r w:rsidR="00E413C8">
        <w:rPr>
          <w:rFonts w:ascii="Times New Roman" w:eastAsia="Times New Roman" w:hAnsi="Times New Roman" w:cs="Times New Roman"/>
          <w:noProof/>
          <w:sz w:val="28"/>
          <w:szCs w:val="28"/>
          <w:lang w:eastAsia="ru-RU"/>
        </w:rPr>
        <w:t xml:space="preserve">ния социальной инфраструктуры; </w:t>
      </w:r>
      <w:r w:rsidR="00E413C8">
        <w:rPr>
          <w:rFonts w:ascii="Times New Roman" w:eastAsia="Times New Roman" w:hAnsi="Times New Roman" w:cs="Times New Roman"/>
          <w:noProof/>
          <w:sz w:val="28"/>
          <w:szCs w:val="28"/>
          <w:lang w:eastAsia="ru-RU"/>
        </w:rPr>
        <w:tab/>
      </w:r>
      <w:r w:rsidRPr="0042058C">
        <w:rPr>
          <w:rFonts w:ascii="Times New Roman" w:eastAsia="Times New Roman" w:hAnsi="Times New Roman" w:cs="Times New Roman"/>
          <w:noProof/>
          <w:sz w:val="28"/>
          <w:szCs w:val="28"/>
          <w:lang w:eastAsia="ru-RU"/>
        </w:rPr>
        <w:t>оценка обеспеченности объектами соци</w:t>
      </w:r>
      <w:r w:rsidR="00E413C8">
        <w:rPr>
          <w:rFonts w:ascii="Times New Roman" w:eastAsia="Times New Roman" w:hAnsi="Times New Roman" w:cs="Times New Roman"/>
          <w:noProof/>
          <w:sz w:val="28"/>
          <w:szCs w:val="28"/>
          <w:lang w:eastAsia="ru-RU"/>
        </w:rPr>
        <w:t>альной инфраструктуры;</w:t>
      </w:r>
    </w:p>
    <w:p w:rsidR="0042058C" w:rsidRPr="0042058C" w:rsidRDefault="0042058C" w:rsidP="00E413C8">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определение и обоснование проектных предложений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по размещению учреждений обслуживания.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Основной задачей оценки уровня развития социального и культурно-бытового обслуживания населения является выявление количественного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качественного состава действующих объектов, оценка уровня обеспеченности населения территории учреждениями социального обслуживания путем сопоставления проектных мощностей действующих объектов с нормативной потребностью, анализ технического состояния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их зданий.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Система обслуживания является важным элементом союза «экономическая база – социальная инфраструктура», и представляет собой один из видов градостроительной деятельности. Ее развитие имеет определяющее значение, влияющее как на качество жизни населения, так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на разнообразие объектов обслуживания.</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4"/>
          <w:lang w:eastAsia="ru-RU"/>
        </w:rPr>
        <w:drawing>
          <wp:inline distT="0" distB="0" distL="0" distR="0" wp14:anchorId="310A7B53" wp14:editId="7A29F9AA">
            <wp:extent cx="5943600" cy="7474585"/>
            <wp:effectExtent l="0" t="0" r="0" b="0"/>
            <wp:docPr id="8" name="Рисунок 8" descr="Описание: D:\!_Рабочий_стол_Кристина\Кристина_проекты\Труновский МО\ГП 2021\Социалка\7 Соц инфраструктур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D:\!_Рабочий_стол_Кристина\Кристина_проекты\Труновский МО\ГП 2021\Социалка\7 Соц инфраструктура-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474585"/>
                    </a:xfrm>
                    <a:prstGeom prst="rect">
                      <a:avLst/>
                    </a:prstGeom>
                    <a:noFill/>
                    <a:ln>
                      <a:noFill/>
                    </a:ln>
                  </pic:spPr>
                </pic:pic>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Объекты социальной инфраструктуры Труновского муниципального </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округа,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Важными показателями качества жизни населения являются наличие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разнообразие объектов обслуживания, их пространственная, социальная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экономическая доступность, как для местного населения, так и для гостей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процессе работы был проведен анализ и дана оценка: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территориального размещения объектов социального и культурно-бытового обслуживания;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формирующейся социальной и культурно-бытовой системы обслуживания;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нормативно необходимого количества учреждений обслуживания.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Существующие объекты социальной инфраструктуры отображены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рисунке.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Анализ существующего состояния системы обслуживания позволил предложить проектные решения (см. Том 1. Положение о территориальном планировании). Эти решения позволят обеспечить население всем необходимым в экономически оправданных пределах, повысить его уровень жизни, создать комфортные условия для проживающих.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современного состояния отраслей социальной сферы Труновского муниципального округа приведена далее по тексту.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w:t>
      </w:r>
      <w:r w:rsidR="00E413C8">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Образование.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Развитие образования в Труновском муниципальном округе является одним из основных направлений социальной сферы. Получение качественного образования детьми влияет на обеспечение округа образованным населением, квалифицированными кадрами.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Систему образования Труновского муниципального округа Ставропольского края представляют: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27 муниципальных общеобразовательных организаций;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15 муниципальных дошкольных образовательных организаций;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7 муниципальных организаций дополнительного образования.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Распределение образовательных организаций по территории муниципального округа представлено на рисунке.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Дошкольное образование. Сеть дошкольного образования </w:t>
      </w:r>
      <w:r w:rsidR="00BA53A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Труновском муниципальном округе представлена 15 муниципальными дошкольными учреждениями. 4 дошкольных образовательных учреждения расположены в административном центре округа – селе Донском, остальные учреждения – в других сельских населенных пунктах.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Система дошкольного образования требует усовершенствования каждый год. Происходящие изменения обоснованы увеличением количества воспитанников детских садов и необходимостью внедрения новых технологий и методов обучения в конкретных жизненных условиях.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Default="0042058C" w:rsidP="00E413C8">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413C8">
        <w:rPr>
          <w:rFonts w:ascii="Times New Roman" w:eastAsia="Times New Roman" w:hAnsi="Times New Roman" w:cs="Times New Roman"/>
          <w:noProof/>
          <w:sz w:val="28"/>
          <w:szCs w:val="28"/>
          <w:lang w:eastAsia="ru-RU"/>
        </w:rPr>
        <w:t>33</w:t>
      </w:r>
    </w:p>
    <w:p w:rsidR="0042058C" w:rsidRPr="0042058C" w:rsidRDefault="0042058C" w:rsidP="00E413C8">
      <w:pPr>
        <w:autoSpaceDE w:val="0"/>
        <w:autoSpaceDN w:val="0"/>
        <w:adjustRightInd w:val="0"/>
        <w:spacing w:after="0" w:line="240" w:lineRule="auto"/>
        <w:ind w:firstLine="709"/>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Основные показатели развития системы муниципальных детских дошкольных образо¬вательных учреждений в Труновском муниципальном округе в 2019-2020 гг.</w:t>
      </w:r>
      <w:r w:rsidRPr="0042058C">
        <w:rPr>
          <w:rFonts w:ascii="Times New Roman" w:eastAsia="Times New Roman" w:hAnsi="Times New Roman" w:cs="Times New Roman"/>
          <w:noProof/>
          <w:sz w:val="28"/>
          <w:szCs w:val="28"/>
          <w:vertAlign w:val="superscript"/>
          <w:lang w:eastAsia="ru-RU"/>
        </w:rPr>
        <w:footnoteReference w:id="61"/>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9"/>
        <w:gridCol w:w="1418"/>
        <w:gridCol w:w="1276"/>
      </w:tblGrid>
      <w:tr w:rsidR="0042058C" w:rsidRPr="0042058C" w:rsidTr="0042058C">
        <w:tc>
          <w:tcPr>
            <w:tcW w:w="3577" w:type="pct"/>
            <w:shd w:val="clear" w:color="auto" w:fill="auto"/>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Показатель</w:t>
            </w:r>
          </w:p>
        </w:tc>
        <w:tc>
          <w:tcPr>
            <w:tcW w:w="749" w:type="pct"/>
            <w:shd w:val="clear" w:color="auto" w:fill="auto"/>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2019</w:t>
            </w:r>
          </w:p>
        </w:tc>
        <w:tc>
          <w:tcPr>
            <w:tcW w:w="674" w:type="pct"/>
            <w:shd w:val="clear" w:color="auto" w:fill="auto"/>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2020</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Численность населения, чел. </w:t>
            </w:r>
          </w:p>
        </w:tc>
        <w:tc>
          <w:tcPr>
            <w:tcW w:w="749" w:type="pct"/>
            <w:shd w:val="clear" w:color="auto" w:fill="auto"/>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31071</w:t>
            </w:r>
          </w:p>
        </w:tc>
        <w:tc>
          <w:tcPr>
            <w:tcW w:w="674" w:type="pct"/>
            <w:shd w:val="clear" w:color="auto" w:fill="auto"/>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30449</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Численность детей в возрасте 1-6 лет, чел.</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2333</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2216</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Численность детей, посещающих ДОУ, чел.</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1401</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1291</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Число мест в ДОУ, ед.</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2160</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2160</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Наполняемость ДОУ, %</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64,9</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59,8</w:t>
            </w:r>
          </w:p>
        </w:tc>
      </w:tr>
      <w:tr w:rsidR="0042058C" w:rsidRPr="0042058C" w:rsidTr="0042058C">
        <w:trPr>
          <w:trHeight w:val="70"/>
        </w:trPr>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Численность детей, стоя</w:t>
            </w:r>
            <w:r w:rsidRPr="0042058C">
              <w:rPr>
                <w:rFonts w:ascii="Times New Roman" w:eastAsia="Times New Roman" w:hAnsi="Times New Roman" w:cs="Times New Roman"/>
                <w:sz w:val="20"/>
                <w:szCs w:val="20"/>
                <w:lang w:eastAsia="ru-RU"/>
              </w:rPr>
              <w:softHyphen/>
              <w:t>щих на учете для определения в ДОУ, чел.</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0</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0</w:t>
            </w:r>
          </w:p>
        </w:tc>
      </w:tr>
      <w:tr w:rsidR="0042058C" w:rsidRPr="0042058C" w:rsidTr="0042058C">
        <w:tc>
          <w:tcPr>
            <w:tcW w:w="3577" w:type="pct"/>
            <w:shd w:val="clear" w:color="auto" w:fill="auto"/>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Охват детей в возрасте 1-6 лет дошкольным образо</w:t>
            </w:r>
            <w:r w:rsidRPr="0042058C">
              <w:rPr>
                <w:rFonts w:ascii="Times New Roman" w:eastAsia="Times New Roman" w:hAnsi="Times New Roman" w:cs="Times New Roman"/>
                <w:sz w:val="20"/>
                <w:szCs w:val="20"/>
                <w:lang w:eastAsia="ru-RU"/>
              </w:rPr>
              <w:softHyphen/>
              <w:t>ванием, %</w:t>
            </w:r>
          </w:p>
        </w:tc>
        <w:tc>
          <w:tcPr>
            <w:tcW w:w="74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60,0</w:t>
            </w:r>
          </w:p>
        </w:tc>
        <w:tc>
          <w:tcPr>
            <w:tcW w:w="67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58,3</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Количество детей, посещающих дошкольные образовательные учреждения, по состоянию на 2020 г. составило 1291 человек. Уровень охвата детей дошкольного возраста услугами детских садов составляет 58,3%. В детских дошкольных учреждениях муниципального округа выдержан норматив загрузки. Свободных мест достаточно для обеспечения населения услугами дошкольного образования.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системе дошкольного образования трудится 130 сотрудников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34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Численность сотрудников дошкольного образования Труновского муниципального округа, 2019 г.</w:t>
      </w:r>
      <w:r w:rsidRPr="0042058C">
        <w:rPr>
          <w:rFonts w:ascii="Times New Roman" w:eastAsia="Times New Roman" w:hAnsi="Times New Roman" w:cs="Times New Roman"/>
          <w:noProof/>
          <w:sz w:val="28"/>
          <w:szCs w:val="28"/>
          <w:vertAlign w:val="superscript"/>
          <w:lang w:eastAsia="ru-RU"/>
        </w:rPr>
        <w:footnoteReference w:id="62"/>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268"/>
      </w:tblGrid>
      <w:tr w:rsidR="0042058C" w:rsidRPr="0042058C" w:rsidTr="0042058C">
        <w:tc>
          <w:tcPr>
            <w:tcW w:w="7230" w:type="dxa"/>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Численность педагогических работников в организациях, всего, чел.,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из них:</w:t>
            </w:r>
          </w:p>
        </w:tc>
        <w:tc>
          <w:tcPr>
            <w:tcW w:w="2268" w:type="dxa"/>
            <w:vAlign w:val="center"/>
          </w:tcPr>
          <w:p w:rsidR="0042058C" w:rsidRPr="0042058C" w:rsidRDefault="0042058C" w:rsidP="0042058C">
            <w:pPr>
              <w:spacing w:after="0" w:line="240" w:lineRule="auto"/>
              <w:jc w:val="center"/>
              <w:rPr>
                <w:rFonts w:ascii="Times New Roman" w:eastAsia="Calibri" w:hAnsi="Times New Roman" w:cs="Times New Roman"/>
                <w:bCs/>
                <w:iCs/>
                <w:sz w:val="20"/>
                <w:szCs w:val="20"/>
              </w:rPr>
            </w:pPr>
            <w:r w:rsidRPr="0042058C">
              <w:rPr>
                <w:rFonts w:ascii="Times New Roman" w:eastAsia="Calibri" w:hAnsi="Times New Roman" w:cs="Times New Roman"/>
                <w:bCs/>
                <w:iCs/>
                <w:sz w:val="20"/>
                <w:szCs w:val="20"/>
              </w:rPr>
              <w:t>130</w:t>
            </w:r>
          </w:p>
        </w:tc>
      </w:tr>
      <w:tr w:rsidR="0042058C" w:rsidRPr="0042058C" w:rsidTr="0042058C">
        <w:tc>
          <w:tcPr>
            <w:tcW w:w="7230" w:type="dxa"/>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воспитатели </w:t>
            </w:r>
          </w:p>
        </w:tc>
        <w:tc>
          <w:tcPr>
            <w:tcW w:w="2268" w:type="dxa"/>
            <w:vAlign w:val="center"/>
          </w:tcPr>
          <w:p w:rsidR="0042058C" w:rsidRPr="0042058C" w:rsidRDefault="0042058C" w:rsidP="0042058C">
            <w:pPr>
              <w:spacing w:after="0" w:line="240" w:lineRule="auto"/>
              <w:jc w:val="center"/>
              <w:rPr>
                <w:rFonts w:ascii="Times New Roman" w:eastAsia="Calibri" w:hAnsi="Times New Roman" w:cs="Times New Roman"/>
                <w:iCs/>
                <w:sz w:val="20"/>
                <w:szCs w:val="20"/>
              </w:rPr>
            </w:pPr>
            <w:r w:rsidRPr="0042058C">
              <w:rPr>
                <w:rFonts w:ascii="Times New Roman" w:eastAsia="Calibri" w:hAnsi="Times New Roman" w:cs="Times New Roman"/>
                <w:iCs/>
                <w:sz w:val="20"/>
                <w:szCs w:val="20"/>
              </w:rPr>
              <w:t>109</w:t>
            </w:r>
          </w:p>
        </w:tc>
      </w:tr>
      <w:tr w:rsidR="0042058C" w:rsidRPr="0042058C" w:rsidTr="0042058C">
        <w:tc>
          <w:tcPr>
            <w:tcW w:w="7230" w:type="dxa"/>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старшие воспитатели</w:t>
            </w:r>
          </w:p>
        </w:tc>
        <w:tc>
          <w:tcPr>
            <w:tcW w:w="2268" w:type="dxa"/>
            <w:vAlign w:val="center"/>
          </w:tcPr>
          <w:p w:rsidR="0042058C" w:rsidRPr="0042058C" w:rsidRDefault="0042058C" w:rsidP="0042058C">
            <w:pPr>
              <w:spacing w:after="0" w:line="240" w:lineRule="auto"/>
              <w:jc w:val="center"/>
              <w:rPr>
                <w:rFonts w:ascii="Times New Roman" w:eastAsia="Calibri" w:hAnsi="Times New Roman" w:cs="Times New Roman"/>
                <w:iCs/>
                <w:sz w:val="20"/>
                <w:szCs w:val="20"/>
              </w:rPr>
            </w:pPr>
            <w:r w:rsidRPr="0042058C">
              <w:rPr>
                <w:rFonts w:ascii="Times New Roman" w:eastAsia="Calibri" w:hAnsi="Times New Roman" w:cs="Times New Roman"/>
                <w:iCs/>
                <w:sz w:val="20"/>
                <w:szCs w:val="20"/>
              </w:rPr>
              <w:t>6</w:t>
            </w:r>
          </w:p>
        </w:tc>
      </w:tr>
      <w:tr w:rsidR="0042058C" w:rsidRPr="0042058C" w:rsidTr="0042058C">
        <w:tc>
          <w:tcPr>
            <w:tcW w:w="7230" w:type="dxa"/>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музыкальные руководители</w:t>
            </w:r>
          </w:p>
        </w:tc>
        <w:tc>
          <w:tcPr>
            <w:tcW w:w="2268" w:type="dxa"/>
            <w:vAlign w:val="center"/>
          </w:tcPr>
          <w:p w:rsidR="0042058C" w:rsidRPr="0042058C" w:rsidRDefault="0042058C" w:rsidP="0042058C">
            <w:pPr>
              <w:spacing w:after="0" w:line="240" w:lineRule="auto"/>
              <w:jc w:val="center"/>
              <w:rPr>
                <w:rFonts w:ascii="Times New Roman" w:eastAsia="Calibri" w:hAnsi="Times New Roman" w:cs="Times New Roman"/>
                <w:iCs/>
                <w:sz w:val="20"/>
                <w:szCs w:val="20"/>
              </w:rPr>
            </w:pPr>
            <w:r w:rsidRPr="0042058C">
              <w:rPr>
                <w:rFonts w:ascii="Times New Roman" w:eastAsia="Calibri" w:hAnsi="Times New Roman" w:cs="Times New Roman"/>
                <w:iCs/>
                <w:sz w:val="20"/>
                <w:szCs w:val="20"/>
              </w:rPr>
              <w:t>14</w:t>
            </w:r>
          </w:p>
        </w:tc>
      </w:tr>
      <w:tr w:rsidR="0042058C" w:rsidRPr="0042058C" w:rsidTr="0042058C">
        <w:tc>
          <w:tcPr>
            <w:tcW w:w="7230" w:type="dxa"/>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учителя логопеды</w:t>
            </w:r>
          </w:p>
        </w:tc>
        <w:tc>
          <w:tcPr>
            <w:tcW w:w="2268" w:type="dxa"/>
            <w:vAlign w:val="center"/>
          </w:tcPr>
          <w:p w:rsidR="0042058C" w:rsidRPr="0042058C" w:rsidRDefault="0042058C" w:rsidP="0042058C">
            <w:pPr>
              <w:spacing w:after="0" w:line="240" w:lineRule="auto"/>
              <w:jc w:val="center"/>
              <w:rPr>
                <w:rFonts w:ascii="Times New Roman" w:eastAsia="Calibri" w:hAnsi="Times New Roman" w:cs="Times New Roman"/>
                <w:iCs/>
                <w:sz w:val="20"/>
                <w:szCs w:val="20"/>
              </w:rPr>
            </w:pPr>
            <w:r w:rsidRPr="0042058C">
              <w:rPr>
                <w:rFonts w:ascii="Times New Roman" w:eastAsia="Calibri" w:hAnsi="Times New Roman" w:cs="Times New Roman"/>
                <w:iCs/>
                <w:sz w:val="20"/>
                <w:szCs w:val="20"/>
              </w:rPr>
              <w:t>1</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Сведения о существующих учреждениях дошкольного образования представлены в таблице ниже. </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413C8">
        <w:rPr>
          <w:rFonts w:ascii="Times New Roman" w:eastAsia="Times New Roman" w:hAnsi="Times New Roman" w:cs="Times New Roman"/>
          <w:noProof/>
          <w:sz w:val="28"/>
          <w:szCs w:val="28"/>
          <w:lang w:eastAsia="ru-RU"/>
        </w:rPr>
        <w:t>35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Сведения о дошкольных образовательных учреждениях Труновского муниципального округа, 2020 г.</w:t>
      </w: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544"/>
        <w:gridCol w:w="756"/>
        <w:gridCol w:w="756"/>
        <w:gridCol w:w="756"/>
        <w:gridCol w:w="2410"/>
        <w:gridCol w:w="709"/>
      </w:tblGrid>
      <w:tr w:rsidR="0042058C" w:rsidRPr="0042058C" w:rsidTr="0042058C">
        <w:trPr>
          <w:cantSplit/>
          <w:trHeight w:val="2531"/>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sz w:val="20"/>
                <w:szCs w:val="20"/>
              </w:rPr>
              <w:t>№ п</w:t>
            </w:r>
            <w:r w:rsidRPr="0042058C">
              <w:rPr>
                <w:rFonts w:ascii="Times New Roman" w:eastAsia="Calibri" w:hAnsi="Times New Roman" w:cs="Times New Roman"/>
                <w:color w:val="000000"/>
                <w:sz w:val="20"/>
                <w:szCs w:val="20"/>
              </w:rPr>
              <w:t>/п</w:t>
            </w:r>
          </w:p>
        </w:tc>
        <w:tc>
          <w:tcPr>
            <w:tcW w:w="3544"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Наименование объекта</w:t>
            </w:r>
          </w:p>
        </w:tc>
        <w:tc>
          <w:tcPr>
            <w:tcW w:w="756" w:type="dxa"/>
            <w:shd w:val="clear" w:color="auto" w:fill="auto"/>
            <w:textDirection w:val="btLr"/>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Проектная вместимость объекта</w:t>
            </w:r>
          </w:p>
        </w:tc>
        <w:tc>
          <w:tcPr>
            <w:tcW w:w="756" w:type="dxa"/>
            <w:shd w:val="clear" w:color="auto" w:fill="auto"/>
            <w:textDirection w:val="btLr"/>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учащихся</w:t>
            </w:r>
          </w:p>
        </w:tc>
        <w:tc>
          <w:tcPr>
            <w:tcW w:w="756" w:type="dxa"/>
            <w:shd w:val="clear" w:color="auto" w:fill="auto"/>
            <w:textDirection w:val="btLr"/>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Год ввода в эксплуатацию</w:t>
            </w:r>
          </w:p>
        </w:tc>
        <w:tc>
          <w:tcPr>
            <w:tcW w:w="2410" w:type="dxa"/>
            <w:shd w:val="clear" w:color="auto" w:fill="auto"/>
            <w:textDirection w:val="btLr"/>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Состояние зданий и сооружений</w:t>
            </w:r>
          </w:p>
        </w:tc>
        <w:tc>
          <w:tcPr>
            <w:tcW w:w="709" w:type="dxa"/>
            <w:shd w:val="clear" w:color="auto" w:fill="auto"/>
            <w:textDirection w:val="btLr"/>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Очередь детей в детские сады, чел.</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w:t>
            </w:r>
          </w:p>
        </w:tc>
        <w:tc>
          <w:tcPr>
            <w:tcW w:w="3544" w:type="dxa"/>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№1 «Аист»,                             с. Труновское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280</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1986</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№3 «Радуга», с. Донское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183</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1987</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42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 4 «Калинка»,               с. Новая Кугульта</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1986</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355"/>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5 «Березка»,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Безопасное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146</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111</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1985</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177"/>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 5 «Березка»,</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Безопасное стр. подр. 2</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56</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1985</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 8 «Огонек»,                  п. им. Кирова</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296</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1989</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требуется капитальный ремонт</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106"/>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8 «Огонек», фил. №1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 Правоегорлыкский</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1989</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8 «Огонек», фил. № 2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 Новотерновский</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1989</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8 «Огонек», фил. № 3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 Сухой Лог</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1989</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№12 «Родничок»,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Подлесное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132</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41</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1987</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415"/>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21 «Дюймовочка»,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155</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1971</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 23 «Березка»,                      с. Труновское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1984</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274"/>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27 «Солнышко»,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Безопасное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71</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1983</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455"/>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МКДОУ д/с №28 «Ивушка»,                      с. Донское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95</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1965</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удовлетворительное</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70"/>
        </w:trPr>
        <w:tc>
          <w:tcPr>
            <w:tcW w:w="543" w:type="dxa"/>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w:t>
            </w: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МКДОУ д/с № 30 «Лесная сказка», </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273</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268</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1980</w:t>
            </w:r>
          </w:p>
        </w:tc>
        <w:tc>
          <w:tcPr>
            <w:tcW w:w="24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требуется капитальный ремонт</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151"/>
        </w:trPr>
        <w:tc>
          <w:tcPr>
            <w:tcW w:w="54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p>
        </w:tc>
        <w:tc>
          <w:tcPr>
            <w:tcW w:w="3544"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Итого по селу Донскому</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806</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684</w:t>
            </w:r>
          </w:p>
        </w:tc>
        <w:tc>
          <w:tcPr>
            <w:tcW w:w="756"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w:t>
            </w:r>
          </w:p>
        </w:tc>
        <w:tc>
          <w:tcPr>
            <w:tcW w:w="241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rPr>
          <w:trHeight w:val="190"/>
        </w:trPr>
        <w:tc>
          <w:tcPr>
            <w:tcW w:w="543" w:type="dxa"/>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p>
        </w:tc>
        <w:tc>
          <w:tcPr>
            <w:tcW w:w="3544" w:type="dxa"/>
            <w:shd w:val="clear" w:color="auto" w:fill="auto"/>
            <w:noWrap/>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Итого по округу</w:t>
            </w:r>
          </w:p>
        </w:tc>
        <w:tc>
          <w:tcPr>
            <w:tcW w:w="756" w:type="dxa"/>
            <w:shd w:val="clear" w:color="auto" w:fill="auto"/>
            <w:noWrap/>
            <w:vAlign w:val="center"/>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2160</w:t>
            </w:r>
          </w:p>
        </w:tc>
        <w:tc>
          <w:tcPr>
            <w:tcW w:w="756" w:type="dxa"/>
            <w:shd w:val="clear" w:color="auto" w:fill="auto"/>
            <w:noWrap/>
            <w:vAlign w:val="center"/>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1291</w:t>
            </w:r>
          </w:p>
        </w:tc>
        <w:tc>
          <w:tcPr>
            <w:tcW w:w="756" w:type="dxa"/>
            <w:shd w:val="clear" w:color="auto" w:fill="auto"/>
            <w:noWrap/>
            <w:vAlign w:val="center"/>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w:t>
            </w:r>
          </w:p>
        </w:tc>
        <w:tc>
          <w:tcPr>
            <w:tcW w:w="2410"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w:t>
            </w:r>
          </w:p>
        </w:tc>
        <w:tc>
          <w:tcPr>
            <w:tcW w:w="709" w:type="dxa"/>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Как видно из таблицы, объекты дошкольного образования муниципального округа не заполнены полностью, нехватки мест нет. Очередь на поступление в детские сады отсутствует.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Таким образом, современная система дошкольного образования Труновского муниципального округа удовлетворяет потребностям населения.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 имеющимся проблемам развития сети можно отнести: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отсутствие современных условий (ремонта) в большинстве учреждений;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нехватка учреждений дополнительного образования.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Общее образование. Система общего среднего образования Труновского муниципального округа осуществляется </w:t>
      </w:r>
      <w:r w:rsidR="0028178A">
        <w:rPr>
          <w:rFonts w:ascii="Times New Roman" w:eastAsia="Times New Roman" w:hAnsi="Times New Roman" w:cs="Times New Roman"/>
          <w:noProof/>
          <w:sz w:val="28"/>
          <w:szCs w:val="28"/>
          <w:lang w:eastAsia="ru-RU"/>
        </w:rPr>
        <w:t xml:space="preserve">                                              в </w:t>
      </w:r>
      <w:r w:rsidRPr="0042058C">
        <w:rPr>
          <w:rFonts w:ascii="Times New Roman" w:eastAsia="Times New Roman" w:hAnsi="Times New Roman" w:cs="Times New Roman"/>
          <w:noProof/>
          <w:sz w:val="28"/>
          <w:szCs w:val="28"/>
          <w:lang w:eastAsia="ru-RU"/>
        </w:rPr>
        <w:t>11 общеобразовательных организациях. В учреждениях обучаются                      3790 человек.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Из 11 функционирующих общеобразовательных организаций округа              3 расположены в административном центре – селе Донском, другие учреждения – в остальных населенных пунктах. В административном центре Труновского муниципального округа обучается 47,6% детей школьного возраста, в сельских – 52,4% школьников.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Сведения о существующих учреждениях образования представлены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таблице.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36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Общеобразовательные учреждения Труновского муниципального </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округа, 2020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0"/>
        <w:gridCol w:w="3859"/>
        <w:gridCol w:w="746"/>
        <w:gridCol w:w="742"/>
        <w:gridCol w:w="742"/>
        <w:gridCol w:w="2079"/>
        <w:gridCol w:w="740"/>
      </w:tblGrid>
      <w:tr w:rsidR="0042058C" w:rsidRPr="0042058C" w:rsidTr="0042058C">
        <w:trPr>
          <w:cantSplit/>
          <w:trHeight w:val="2579"/>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п/п</w:t>
            </w:r>
          </w:p>
        </w:tc>
        <w:tc>
          <w:tcPr>
            <w:tcW w:w="2038"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объекта</w:t>
            </w:r>
          </w:p>
        </w:tc>
        <w:tc>
          <w:tcPr>
            <w:tcW w:w="394" w:type="pct"/>
            <w:shd w:val="clear" w:color="auto" w:fill="auto"/>
            <w:textDirection w:val="btLr"/>
            <w:vAlign w:val="center"/>
            <w:hideMark/>
          </w:tcPr>
          <w:p w:rsidR="0042058C" w:rsidRPr="0042058C" w:rsidRDefault="0042058C" w:rsidP="0042058C">
            <w:pPr>
              <w:spacing w:after="0" w:line="240" w:lineRule="auto"/>
              <w:ind w:left="113" w:right="113"/>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Проектная вместимость объекта</w:t>
            </w:r>
          </w:p>
        </w:tc>
        <w:tc>
          <w:tcPr>
            <w:tcW w:w="392" w:type="pct"/>
            <w:shd w:val="clear" w:color="auto" w:fill="auto"/>
            <w:textDirection w:val="btLr"/>
            <w:vAlign w:val="center"/>
            <w:hideMark/>
          </w:tcPr>
          <w:p w:rsidR="0042058C" w:rsidRPr="0042058C" w:rsidRDefault="0042058C" w:rsidP="0042058C">
            <w:pPr>
              <w:spacing w:after="0" w:line="240" w:lineRule="auto"/>
              <w:ind w:left="113" w:right="113"/>
              <w:rPr>
                <w:rFonts w:ascii="Times New Roman" w:eastAsia="Calibri" w:hAnsi="Times New Roman" w:cs="Times New Roman"/>
                <w:sz w:val="20"/>
                <w:szCs w:val="20"/>
              </w:rPr>
            </w:pPr>
            <w:r w:rsidRPr="0042058C">
              <w:rPr>
                <w:rFonts w:ascii="Times New Roman" w:eastAsia="Calibri" w:hAnsi="Times New Roman" w:cs="Times New Roman"/>
                <w:sz w:val="20"/>
                <w:szCs w:val="20"/>
              </w:rPr>
              <w:t>Количество обучающихся</w:t>
            </w:r>
          </w:p>
        </w:tc>
        <w:tc>
          <w:tcPr>
            <w:tcW w:w="392" w:type="pct"/>
            <w:shd w:val="clear" w:color="auto" w:fill="auto"/>
            <w:textDirection w:val="btLr"/>
            <w:vAlign w:val="center"/>
            <w:hideMark/>
          </w:tcPr>
          <w:p w:rsidR="0042058C" w:rsidRPr="0042058C" w:rsidRDefault="0042058C" w:rsidP="0042058C">
            <w:pPr>
              <w:spacing w:after="0" w:line="240" w:lineRule="auto"/>
              <w:ind w:left="113" w:right="113"/>
              <w:rPr>
                <w:rFonts w:ascii="Times New Roman" w:eastAsia="Calibri" w:hAnsi="Times New Roman" w:cs="Times New Roman"/>
                <w:sz w:val="20"/>
                <w:szCs w:val="20"/>
              </w:rPr>
            </w:pPr>
            <w:r w:rsidRPr="0042058C">
              <w:rPr>
                <w:rFonts w:ascii="Times New Roman" w:eastAsia="Calibri" w:hAnsi="Times New Roman" w:cs="Times New Roman"/>
                <w:sz w:val="20"/>
                <w:szCs w:val="20"/>
              </w:rPr>
              <w:t>Год ввода в эксплуатацию</w:t>
            </w:r>
          </w:p>
        </w:tc>
        <w:tc>
          <w:tcPr>
            <w:tcW w:w="1098" w:type="pct"/>
            <w:textDirection w:val="btLr"/>
            <w:vAlign w:val="center"/>
          </w:tcPr>
          <w:p w:rsidR="0042058C" w:rsidRPr="0042058C" w:rsidRDefault="0042058C" w:rsidP="0042058C">
            <w:pPr>
              <w:spacing w:after="0" w:line="240" w:lineRule="auto"/>
              <w:ind w:left="113" w:right="113"/>
              <w:rPr>
                <w:rFonts w:ascii="Times New Roman" w:eastAsia="Calibri" w:hAnsi="Times New Roman" w:cs="Times New Roman"/>
                <w:sz w:val="20"/>
                <w:szCs w:val="20"/>
              </w:rPr>
            </w:pPr>
            <w:r w:rsidRPr="0042058C">
              <w:rPr>
                <w:rFonts w:ascii="Times New Roman" w:eastAsia="Calibri" w:hAnsi="Times New Roman" w:cs="Times New Roman"/>
                <w:sz w:val="20"/>
                <w:szCs w:val="20"/>
              </w:rPr>
              <w:t>Состояние зданий и сооружений</w:t>
            </w:r>
          </w:p>
        </w:tc>
        <w:tc>
          <w:tcPr>
            <w:tcW w:w="391" w:type="pct"/>
            <w:shd w:val="clear" w:color="auto" w:fill="auto"/>
            <w:noWrap/>
            <w:textDirection w:val="btLr"/>
            <w:vAlign w:val="center"/>
            <w:hideMark/>
          </w:tcPr>
          <w:p w:rsidR="0042058C" w:rsidRPr="0042058C" w:rsidRDefault="0042058C" w:rsidP="0042058C">
            <w:pPr>
              <w:spacing w:after="0" w:line="240" w:lineRule="auto"/>
              <w:ind w:left="113" w:right="113"/>
              <w:rPr>
                <w:rFonts w:ascii="Times New Roman" w:eastAsia="Calibri" w:hAnsi="Times New Roman" w:cs="Times New Roman"/>
                <w:sz w:val="20"/>
                <w:szCs w:val="20"/>
              </w:rPr>
            </w:pPr>
            <w:r w:rsidRPr="0042058C">
              <w:rPr>
                <w:rFonts w:ascii="Times New Roman" w:eastAsia="Calibri" w:hAnsi="Times New Roman" w:cs="Times New Roman"/>
                <w:sz w:val="20"/>
                <w:szCs w:val="20"/>
              </w:rPr>
              <w:t>Уровень загруженности, %</w:t>
            </w:r>
          </w:p>
        </w:tc>
      </w:tr>
      <w:tr w:rsidR="0042058C" w:rsidRPr="0042058C" w:rsidTr="0042058C">
        <w:trPr>
          <w:trHeight w:val="237"/>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СОШ № 2, с. Труновское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600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403</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1936</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67,0</w:t>
            </w:r>
          </w:p>
        </w:tc>
      </w:tr>
      <w:tr w:rsidR="0042058C" w:rsidRPr="0042058C" w:rsidTr="0042058C">
        <w:trPr>
          <w:trHeight w:val="95"/>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СОШ № 3, с. Безопасное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910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761</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1973</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84,0</w:t>
            </w:r>
          </w:p>
        </w:tc>
      </w:tr>
      <w:tr w:rsidR="0042058C" w:rsidRPr="0042058C" w:rsidTr="0042058C">
        <w:trPr>
          <w:trHeight w:val="174"/>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Структурное подразделение МКОУ СОШ №3, с. Безопасное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1936</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r>
      <w:tr w:rsidR="0042058C" w:rsidRPr="0042058C" w:rsidTr="0042058C">
        <w:trPr>
          <w:trHeight w:val="273"/>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СОШ № 4, п. им. Кирова</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550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281</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1974</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51,0</w:t>
            </w:r>
          </w:p>
        </w:tc>
      </w:tr>
      <w:tr w:rsidR="0042058C" w:rsidRPr="0042058C" w:rsidTr="0042058C">
        <w:trPr>
          <w:trHeight w:val="222"/>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СОШ № 5, с. Безопасное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153</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1972</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34,0</w:t>
            </w:r>
          </w:p>
        </w:tc>
      </w:tr>
      <w:tr w:rsidR="0042058C" w:rsidRPr="0042058C" w:rsidTr="0042058C">
        <w:trPr>
          <w:trHeight w:val="328"/>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СОШ №14, с. Новая Кугульта</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77</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1980</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51,0</w:t>
            </w:r>
          </w:p>
        </w:tc>
      </w:tr>
      <w:tr w:rsidR="0042058C" w:rsidRPr="0042058C" w:rsidTr="0042058C">
        <w:trPr>
          <w:trHeight w:val="262"/>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ООШ № 6, с. Донское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600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666</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1977</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111,0</w:t>
            </w:r>
          </w:p>
        </w:tc>
      </w:tr>
      <w:tr w:rsidR="0042058C" w:rsidRPr="0042058C" w:rsidTr="0042058C">
        <w:trPr>
          <w:trHeight w:val="279"/>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МБОУ гимназия № 7, с. Донское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1075</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1037</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1995</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96,0</w:t>
            </w:r>
          </w:p>
        </w:tc>
      </w:tr>
      <w:tr w:rsidR="0042058C" w:rsidRPr="0042058C" w:rsidTr="0042058C">
        <w:trPr>
          <w:trHeight w:val="268"/>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ООШ № 8, с. Труновское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209</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166</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1970</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79,0</w:t>
            </w:r>
          </w:p>
        </w:tc>
      </w:tr>
      <w:tr w:rsidR="0042058C" w:rsidRPr="0042058C" w:rsidTr="0042058C">
        <w:trPr>
          <w:trHeight w:val="234"/>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ООШ № 9, с. Труновское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192</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142</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1973</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74,0</w:t>
            </w:r>
          </w:p>
        </w:tc>
      </w:tr>
      <w:tr w:rsidR="0042058C" w:rsidRPr="0042058C" w:rsidTr="0042058C">
        <w:trPr>
          <w:trHeight w:val="58"/>
        </w:trPr>
        <w:tc>
          <w:tcPr>
            <w:tcW w:w="29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w:t>
            </w: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МБОУ «Центр образования», с. Донское</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104</w:t>
            </w:r>
          </w:p>
        </w:tc>
        <w:tc>
          <w:tcPr>
            <w:tcW w:w="392"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1980</w:t>
            </w:r>
          </w:p>
        </w:tc>
        <w:tc>
          <w:tcPr>
            <w:tcW w:w="1098" w:type="pct"/>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104,0</w:t>
            </w:r>
          </w:p>
        </w:tc>
      </w:tr>
      <w:tr w:rsidR="0042058C" w:rsidRPr="0042058C" w:rsidTr="0042058C">
        <w:trPr>
          <w:trHeight w:val="135"/>
        </w:trPr>
        <w:tc>
          <w:tcPr>
            <w:tcW w:w="29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Итого по селу Донскому</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1775</w:t>
            </w:r>
          </w:p>
        </w:tc>
        <w:tc>
          <w:tcPr>
            <w:tcW w:w="392"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1807</w:t>
            </w:r>
          </w:p>
        </w:tc>
        <w:tc>
          <w:tcPr>
            <w:tcW w:w="392"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09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101,8</w:t>
            </w:r>
          </w:p>
        </w:tc>
      </w:tr>
      <w:tr w:rsidR="0042058C" w:rsidRPr="0042058C" w:rsidTr="0042058C">
        <w:trPr>
          <w:trHeight w:val="113"/>
        </w:trPr>
        <w:tc>
          <w:tcPr>
            <w:tcW w:w="29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03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Итого по муниципальному округу</w:t>
            </w:r>
          </w:p>
        </w:tc>
        <w:tc>
          <w:tcPr>
            <w:tcW w:w="39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4861</w:t>
            </w:r>
          </w:p>
        </w:tc>
        <w:tc>
          <w:tcPr>
            <w:tcW w:w="392"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3790</w:t>
            </w:r>
          </w:p>
        </w:tc>
        <w:tc>
          <w:tcPr>
            <w:tcW w:w="392"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09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391"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78,0</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Наполняемость общеобразовательных учреждений в целом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муниципальному округу составляет 78% нормативной мощности. Загруженность превышена в 2 учреждениях – МКОУ ООШ № 6 и МБОУ «Центр образования» с. Донского. Школы округа работают в одну смену.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целом, система общего образования Труновского муниципального округа не полностью удовлетворяет потребностям населения. В округе присутствует проблемы в данной сфере: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превышенная загруженность школ в с. Донском;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износ зданий учреждений более 50%.</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Дополнительное образование. В Труновском муниципальном округе функционируют 5 учреждений дополнительного образования (таблица).</w:t>
      </w: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37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Учреждения дополнительного образования на территории Труновского муниципального округа, 2020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557"/>
        <w:gridCol w:w="821"/>
        <w:gridCol w:w="823"/>
        <w:gridCol w:w="823"/>
        <w:gridCol w:w="1953"/>
      </w:tblGrid>
      <w:tr w:rsidR="0042058C" w:rsidRPr="0042058C" w:rsidTr="0042058C">
        <w:trPr>
          <w:trHeight w:val="2687"/>
        </w:trPr>
        <w:tc>
          <w:tcPr>
            <w:tcW w:w="25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п/п</w:t>
            </w:r>
          </w:p>
        </w:tc>
        <w:tc>
          <w:tcPr>
            <w:tcW w:w="242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учреждения</w:t>
            </w:r>
          </w:p>
        </w:tc>
        <w:tc>
          <w:tcPr>
            <w:tcW w:w="449" w:type="pct"/>
            <w:shd w:val="clear" w:color="auto" w:fill="auto"/>
            <w:textDirection w:val="btL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Проектная вместимость объекта</w:t>
            </w:r>
          </w:p>
        </w:tc>
        <w:tc>
          <w:tcPr>
            <w:tcW w:w="450" w:type="pct"/>
            <w:textDirection w:val="btL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Количество учащихся</w:t>
            </w:r>
          </w:p>
        </w:tc>
        <w:tc>
          <w:tcPr>
            <w:tcW w:w="450" w:type="pct"/>
            <w:shd w:val="clear" w:color="auto" w:fill="auto"/>
            <w:textDirection w:val="btL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Год ввода в эксплуатацию</w:t>
            </w:r>
          </w:p>
        </w:tc>
        <w:tc>
          <w:tcPr>
            <w:tcW w:w="972" w:type="pct"/>
            <w:textDirection w:val="btL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Состояние зданий и сооружений</w:t>
            </w:r>
          </w:p>
        </w:tc>
      </w:tr>
      <w:tr w:rsidR="0042058C" w:rsidRPr="0042058C" w:rsidTr="0042058C">
        <w:trPr>
          <w:trHeight w:val="315"/>
        </w:trPr>
        <w:tc>
          <w:tcPr>
            <w:tcW w:w="256"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2423" w:type="pct"/>
            <w:shd w:val="clear" w:color="auto" w:fill="auto"/>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ДО ДЮСШ, с. Донское</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311</w:t>
            </w:r>
          </w:p>
        </w:tc>
        <w:tc>
          <w:tcPr>
            <w:tcW w:w="450"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1967</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r>
      <w:tr w:rsidR="0042058C" w:rsidRPr="0042058C" w:rsidTr="0042058C">
        <w:trPr>
          <w:trHeight w:val="273"/>
        </w:trPr>
        <w:tc>
          <w:tcPr>
            <w:tcW w:w="256"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2423" w:type="pct"/>
            <w:shd w:val="clear" w:color="auto" w:fill="auto"/>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ДО ДДТ, с. Донское</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546</w:t>
            </w:r>
          </w:p>
        </w:tc>
        <w:tc>
          <w:tcPr>
            <w:tcW w:w="450"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1967</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r>
      <w:tr w:rsidR="0042058C" w:rsidRPr="0042058C" w:rsidTr="0042058C">
        <w:trPr>
          <w:trHeight w:val="155"/>
        </w:trPr>
        <w:tc>
          <w:tcPr>
            <w:tcW w:w="256"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2423" w:type="pct"/>
            <w:shd w:val="clear" w:color="auto" w:fill="auto"/>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ДО СЮТ, с. Донское</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147</w:t>
            </w:r>
          </w:p>
        </w:tc>
        <w:tc>
          <w:tcPr>
            <w:tcW w:w="450"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1967</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r>
      <w:tr w:rsidR="0042058C" w:rsidRPr="0042058C" w:rsidTr="0042058C">
        <w:trPr>
          <w:trHeight w:val="188"/>
        </w:trPr>
        <w:tc>
          <w:tcPr>
            <w:tcW w:w="25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c>
          <w:tcPr>
            <w:tcW w:w="2423" w:type="pct"/>
            <w:shd w:val="clear" w:color="auto" w:fill="auto"/>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МКОУ ДО СЮН, с. Донское</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135</w:t>
            </w:r>
          </w:p>
        </w:tc>
        <w:tc>
          <w:tcPr>
            <w:tcW w:w="450"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1967</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r>
      <w:tr w:rsidR="0042058C" w:rsidRPr="0042058C" w:rsidTr="0042058C">
        <w:trPr>
          <w:trHeight w:val="233"/>
        </w:trPr>
        <w:tc>
          <w:tcPr>
            <w:tcW w:w="25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2423" w:type="pct"/>
            <w:shd w:val="clear" w:color="auto" w:fill="auto"/>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МБОУ ДООПЦ «Колосок», с. Донское</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450"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1974</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r>
      <w:tr w:rsidR="0042058C" w:rsidRPr="0042058C" w:rsidTr="0042058C">
        <w:trPr>
          <w:trHeight w:val="266"/>
        </w:trPr>
        <w:tc>
          <w:tcPr>
            <w:tcW w:w="25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4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Итого по муниципальному округу</w:t>
            </w:r>
          </w:p>
        </w:tc>
        <w:tc>
          <w:tcPr>
            <w:tcW w:w="449" w:type="pct"/>
            <w:shd w:val="clear" w:color="auto" w:fill="auto"/>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0"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1239</w:t>
            </w:r>
          </w:p>
        </w:tc>
        <w:tc>
          <w:tcPr>
            <w:tcW w:w="450" w:type="pct"/>
            <w:shd w:val="clear" w:color="auto" w:fill="auto"/>
            <w:vAlign w:val="center"/>
          </w:tcPr>
          <w:p w:rsidR="0042058C" w:rsidRPr="0042058C" w:rsidRDefault="0042058C" w:rsidP="0042058C">
            <w:pPr>
              <w:widowControl w:val="0"/>
              <w:spacing w:after="0" w:line="240" w:lineRule="auto"/>
              <w:ind w:left="6521" w:hanging="6521"/>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72" w:type="pct"/>
            <w:vAlign w:val="center"/>
          </w:tcPr>
          <w:p w:rsidR="0042058C" w:rsidRPr="0042058C" w:rsidRDefault="0042058C" w:rsidP="0042058C">
            <w:pPr>
              <w:widowControl w:val="0"/>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Система дополнительного образования в Труновском муниципальном округе развита слабо. Учреждения находятся только в административном центре – с. Донском. На данном этапе необходимо увеличение количества учреждений дополнительного образования для комплексного развития системы дополнительного образования во всех населенных пунктах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Среднее профессиональное образование. Система среднего профессионального образования муниципального округа представлена двумя филиалами ГОУ СПО «Государственный агротехнический колледж» –                 в с. Донском и с. Труновском.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Система среднего профессионального образования Труновского муниципального округа не развита в достаточной степени. Жители имеют возможность получать образование в сфере, широко развитой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муниципальном округе, однако для получения иных знаний необходимо обращаться в региональный центр.</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На данном этапе необходимым является приведение имеющегося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территории округа учреждения к состоянию, отвечающему современным нормам и требованиям. Основными мероприятиями должны стать проведение капитального ремонта и обновление материально-технической базы.</w:t>
      </w:r>
    </w:p>
    <w:p w:rsidR="0042058C" w:rsidRPr="0042058C" w:rsidRDefault="00E413C8"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w:t>
      </w:r>
      <w:r w:rsidR="0042058C" w:rsidRPr="0042058C">
        <w:rPr>
          <w:rFonts w:ascii="Times New Roman" w:eastAsia="Times New Roman" w:hAnsi="Times New Roman" w:cs="Times New Roman"/>
          <w:noProof/>
          <w:sz w:val="28"/>
          <w:szCs w:val="28"/>
          <w:lang w:eastAsia="ru-RU"/>
        </w:rPr>
        <w:t xml:space="preserve"> Здравоохранение.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территории Труновского муниципального округа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–далее по тексту ОМС) и на коммерческой основе частными клиниками и индивидуальными предпринимателями, имеющими лицензии на осуществление медицинской помощи.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сфере ОМС основную деятельность осуществляет одна медицинская организация – ГБУЗ СК «Труновская районная больница»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состав ГБУЗ СК «Труновская районная больница» входят: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стационар на 156 коек круглосуточного пребывания;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поликлиника на 600 посещений в смену и 51 пациенто-место в дневном стационаре;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 участковая больница в с. Безопасном мощностью 50 посещений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смену;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3 врачебные амбулатории: в п. им. Кирова, с. Подлесном,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Труновском (мощность каждой врачебной амбулатории составляет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50 посещений в смену);</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8 ФАПов в с. Новая Кугульта, х. Невдахин, с. Ключевское,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Труновское, п. Новотерновский, п. Правоегорлыкский, п. Нижняя Терновка, п. Сухой Лог (мощность каждого ФАПа составляет 5 посещений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смену);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 отделение скорой медицинской помощи с филиалами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 Труновском, с. Безопасном.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Стационарную помощь населению муниципального округа оказывает районная больница, имеющая в своем составе: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терапевтическое отделение мощностью 50 коек;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хирургическое отделение мощностью 40 коек;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акушерское отделение мощностью 27 коек;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педиатрическое отделение мощностью 13 коек;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инфекционное отделение мощностью 20 коек, в том числе 15 коек для детей;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реанимационное отделение мощностью 6 коек.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Таблица </w:t>
      </w:r>
      <w:r w:rsidR="0042058C" w:rsidRPr="0042058C">
        <w:rPr>
          <w:rFonts w:ascii="Times New Roman" w:eastAsia="Times New Roman" w:hAnsi="Times New Roman" w:cs="Times New Roman"/>
          <w:noProof/>
          <w:sz w:val="28"/>
          <w:szCs w:val="28"/>
          <w:lang w:eastAsia="ru-RU"/>
        </w:rPr>
        <w:t>3</w:t>
      </w:r>
      <w:r>
        <w:rPr>
          <w:rFonts w:ascii="Times New Roman" w:eastAsia="Times New Roman" w:hAnsi="Times New Roman" w:cs="Times New Roman"/>
          <w:noProof/>
          <w:sz w:val="28"/>
          <w:szCs w:val="28"/>
          <w:lang w:eastAsia="ru-RU"/>
        </w:rPr>
        <w:t>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Перечень учреждений здравоохранения Труновского муниципального округа в разрезе территориальных управлений, 2020 г.</w:t>
      </w:r>
      <w:r w:rsidRPr="0042058C">
        <w:rPr>
          <w:rFonts w:ascii="Times New Roman" w:eastAsia="Times New Roman" w:hAnsi="Times New Roman" w:cs="Times New Roman"/>
          <w:noProof/>
          <w:sz w:val="28"/>
          <w:szCs w:val="28"/>
          <w:vertAlign w:val="superscript"/>
          <w:lang w:eastAsia="ru-RU"/>
        </w:rPr>
        <w:footnoteReference w:id="63"/>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1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4"/>
        <w:gridCol w:w="2258"/>
        <w:gridCol w:w="1712"/>
        <w:gridCol w:w="850"/>
        <w:gridCol w:w="1271"/>
        <w:gridCol w:w="1874"/>
      </w:tblGrid>
      <w:tr w:rsidR="0042058C" w:rsidRPr="0042058C" w:rsidTr="0042058C">
        <w:trPr>
          <w:trHeight w:val="274"/>
        </w:trPr>
        <w:tc>
          <w:tcPr>
            <w:tcW w:w="776" w:type="pct"/>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Территориальное управление</w:t>
            </w: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Наименование учреждения, адрес</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 xml:space="preserve">Мощность учреждения* </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Врачей, чел.</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Среднего медицинского персонала, чел.</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Состояние зданий и сооружений</w:t>
            </w:r>
          </w:p>
        </w:tc>
      </w:tr>
      <w:tr w:rsidR="0042058C" w:rsidRPr="0042058C" w:rsidTr="0042058C">
        <w:trPr>
          <w:trHeight w:val="177"/>
        </w:trPr>
        <w:tc>
          <w:tcPr>
            <w:tcW w:w="776" w:type="pct"/>
            <w:vMerge w:val="restart"/>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в с. Донском</w:t>
            </w: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ГБУЗ СК «Труновская РБ»,</w:t>
            </w:r>
            <w:r w:rsidRPr="0042058C">
              <w:rPr>
                <w:rFonts w:ascii="Times New Roman" w:eastAsia="Calibri" w:hAnsi="Times New Roman" w:cs="Times New Roman"/>
                <w:sz w:val="20"/>
                <w:szCs w:val="20"/>
              </w:rPr>
              <w:t xml:space="preserve"> </w:t>
            </w:r>
            <w:r w:rsidRPr="0042058C">
              <w:rPr>
                <w:rFonts w:ascii="Times New Roman" w:eastAsia="Calibri" w:hAnsi="Times New Roman" w:cs="Times New Roman"/>
                <w:color w:val="000000"/>
                <w:sz w:val="20"/>
                <w:szCs w:val="20"/>
                <w:shd w:val="clear" w:color="auto" w:fill="FFFFFF"/>
                <w:lang w:bidi="ru-RU"/>
              </w:rPr>
              <w:t xml:space="preserve">с. Донское, </w:t>
            </w:r>
          </w:p>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ул. Солнечная, 26</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больничных коек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156;</w:t>
            </w:r>
          </w:p>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600</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80</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186</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требуется капитальный ремонт</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 xml:space="preserve">ФАП х. Невдахин, </w:t>
            </w:r>
          </w:p>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 xml:space="preserve">ул. Невдахин хутор, 65 </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посещений в смену – 5</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rPr>
          <w:trHeight w:val="415"/>
        </w:trPr>
        <w:tc>
          <w:tcPr>
            <w:tcW w:w="776" w:type="pct"/>
            <w:vMerge w:val="restart"/>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в с. Труновском</w:t>
            </w: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Амбулатория, с. Труновское, ул. Ленина, 23</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посещений в смену – 50</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 xml:space="preserve">ФАП, с. Труновское, </w:t>
            </w:r>
          </w:p>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ул. Флотская,104</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посещений в смену – 5</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r w:rsidR="0042058C" w:rsidRPr="0042058C" w:rsidTr="0042058C">
        <w:trPr>
          <w:trHeight w:val="164"/>
        </w:trPr>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 xml:space="preserve">ФАП, с. Ключевское, </w:t>
            </w:r>
          </w:p>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ул. Ленина, 28а</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посещений в смену – 5</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Филиал отделения скорой медицинской помощи, с. Труновское, ул. Флотская,104</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r w:rsidR="0042058C" w:rsidRPr="0042058C" w:rsidTr="0042058C">
        <w:tc>
          <w:tcPr>
            <w:tcW w:w="776" w:type="pct"/>
            <w:vMerge w:val="restart"/>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в п. им. Кирова</w:t>
            </w:r>
          </w:p>
        </w:tc>
        <w:tc>
          <w:tcPr>
            <w:tcW w:w="1197"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Кировская врачебная амбулатория</w:t>
            </w:r>
          </w:p>
        </w:tc>
        <w:tc>
          <w:tcPr>
            <w:tcW w:w="908"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50</w:t>
            </w:r>
          </w:p>
        </w:tc>
        <w:tc>
          <w:tcPr>
            <w:tcW w:w="451"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674" w:type="pct"/>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994" w:type="pct"/>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sz w:val="20"/>
                <w:szCs w:val="20"/>
              </w:rPr>
            </w:pPr>
          </w:p>
        </w:tc>
        <w:tc>
          <w:tcPr>
            <w:tcW w:w="1197" w:type="pct"/>
            <w:tcBorders>
              <w:top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ФАП,                                      п. Правоегорлыкский,</w:t>
            </w:r>
          </w:p>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ул. Советская, 7</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0</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1</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sz w:val="20"/>
                <w:szCs w:val="20"/>
              </w:rPr>
            </w:pPr>
          </w:p>
        </w:tc>
        <w:tc>
          <w:tcPr>
            <w:tcW w:w="1197" w:type="pct"/>
            <w:tcBorders>
              <w:top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ФАП,                                   п. Новотерновский,            ул. З. Космодемьянской, 12/2</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0</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1</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c>
          <w:tcPr>
            <w:tcW w:w="776" w:type="pct"/>
            <w:vMerge/>
            <w:shd w:val="clear" w:color="auto" w:fill="FFFFFF"/>
          </w:tcPr>
          <w:p w:rsidR="0042058C" w:rsidRPr="0042058C" w:rsidRDefault="0042058C" w:rsidP="0042058C">
            <w:pPr>
              <w:widowControl w:val="0"/>
              <w:spacing w:after="0" w:line="240" w:lineRule="auto"/>
              <w:rPr>
                <w:rFonts w:ascii="Times New Roman" w:eastAsia="Calibri" w:hAnsi="Times New Roman" w:cs="Times New Roman"/>
                <w:sz w:val="20"/>
                <w:szCs w:val="20"/>
              </w:rPr>
            </w:pPr>
          </w:p>
        </w:tc>
        <w:tc>
          <w:tcPr>
            <w:tcW w:w="1197" w:type="pct"/>
            <w:tcBorders>
              <w:top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ФАП, </w:t>
            </w:r>
            <w:r w:rsidRPr="0042058C">
              <w:rPr>
                <w:rFonts w:ascii="Times New Roman" w:eastAsia="Calibri" w:hAnsi="Times New Roman" w:cs="Times New Roman"/>
                <w:color w:val="000000"/>
                <w:sz w:val="20"/>
                <w:szCs w:val="20"/>
                <w:shd w:val="clear" w:color="auto" w:fill="FFFFFF"/>
                <w:lang w:bidi="ru-RU"/>
              </w:rPr>
              <w:t>п. Нижняя Терновка, ул. Советская, 5</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0</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1</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c>
          <w:tcPr>
            <w:tcW w:w="776" w:type="pct"/>
            <w:vMerge/>
            <w:tcBorders>
              <w:bottom w:val="single" w:sz="4" w:space="0" w:color="auto"/>
            </w:tcBorders>
            <w:shd w:val="clear" w:color="auto" w:fill="FFFFFF"/>
          </w:tcPr>
          <w:p w:rsidR="0042058C" w:rsidRPr="0042058C" w:rsidRDefault="0042058C" w:rsidP="0042058C">
            <w:pPr>
              <w:widowControl w:val="0"/>
              <w:spacing w:after="0" w:line="240" w:lineRule="auto"/>
              <w:rPr>
                <w:rFonts w:ascii="Times New Roman" w:eastAsia="Calibri" w:hAnsi="Times New Roman" w:cs="Times New Roman"/>
                <w:sz w:val="20"/>
                <w:szCs w:val="20"/>
              </w:rPr>
            </w:pPr>
          </w:p>
        </w:tc>
        <w:tc>
          <w:tcPr>
            <w:tcW w:w="1197" w:type="pct"/>
            <w:tcBorders>
              <w:top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ФАП, п. Сухой Лог, </w:t>
            </w:r>
          </w:p>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Спортивная, 2/3</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0</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1</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удовлетворительное</w:t>
            </w:r>
          </w:p>
        </w:tc>
      </w:tr>
      <w:tr w:rsidR="0042058C" w:rsidRPr="0042058C" w:rsidTr="0042058C">
        <w:tc>
          <w:tcPr>
            <w:tcW w:w="776" w:type="pct"/>
            <w:tcBorders>
              <w:top w:val="single" w:sz="4" w:space="0" w:color="auto"/>
              <w:left w:val="single" w:sz="4" w:space="0" w:color="auto"/>
              <w:bottom w:val="single" w:sz="4" w:space="0" w:color="auto"/>
              <w:right w:val="single" w:sz="4" w:space="0" w:color="auto"/>
            </w:tcBorders>
            <w:shd w:val="clear" w:color="auto" w:fill="FFFFFF"/>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в с. Новая Кугульта</w:t>
            </w:r>
          </w:p>
        </w:tc>
        <w:tc>
          <w:tcPr>
            <w:tcW w:w="119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ФАП, с. Новая Кугульта,</w:t>
            </w:r>
          </w:p>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Гагарина, 8</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sz w:val="20"/>
                <w:szCs w:val="20"/>
              </w:rPr>
              <w:t xml:space="preserve">посещений в смену </w:t>
            </w:r>
            <w:r w:rsidRPr="0042058C">
              <w:rPr>
                <w:rFonts w:ascii="Times New Roman" w:eastAsia="Calibri" w:hAnsi="Times New Roman" w:cs="Times New Roman"/>
                <w:color w:val="000000"/>
                <w:sz w:val="20"/>
                <w:szCs w:val="20"/>
                <w:shd w:val="clear" w:color="auto" w:fill="FFFFFF"/>
                <w:lang w:bidi="ru-RU"/>
              </w:rPr>
              <w:t>–</w:t>
            </w:r>
            <w:r w:rsidRPr="0042058C">
              <w:rPr>
                <w:rFonts w:ascii="Times New Roman" w:eastAsia="Calibri" w:hAnsi="Times New Roman" w:cs="Times New Roman"/>
                <w:sz w:val="20"/>
                <w:szCs w:val="20"/>
              </w:rPr>
              <w:t xml:space="preserve"> 5</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r w:rsidR="0042058C" w:rsidRPr="0042058C" w:rsidTr="0042058C">
        <w:tc>
          <w:tcPr>
            <w:tcW w:w="776" w:type="pct"/>
            <w:tcBorders>
              <w:top w:val="single" w:sz="4" w:space="0" w:color="auto"/>
              <w:left w:val="single" w:sz="4" w:space="0" w:color="auto"/>
              <w:bottom w:val="single" w:sz="4" w:space="0" w:color="auto"/>
              <w:right w:val="single" w:sz="4" w:space="0" w:color="auto"/>
            </w:tcBorders>
            <w:shd w:val="clear" w:color="auto" w:fill="FFFFFF"/>
          </w:tcPr>
          <w:p w:rsidR="0042058C" w:rsidRPr="0042058C" w:rsidRDefault="0042058C" w:rsidP="0042058C">
            <w:pPr>
              <w:widowControl w:val="0"/>
              <w:spacing w:after="0" w:line="240" w:lineRule="auto"/>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в с. Подлесном</w:t>
            </w:r>
          </w:p>
        </w:tc>
        <w:tc>
          <w:tcPr>
            <w:tcW w:w="119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Амбулатория,                          с. Подлесное,                        ул. Гагарина, 3</w:t>
            </w:r>
          </w:p>
        </w:tc>
        <w:tc>
          <w:tcPr>
            <w:tcW w:w="90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посещений в смену – 50</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w:t>
            </w:r>
          </w:p>
        </w:tc>
        <w:tc>
          <w:tcPr>
            <w:tcW w:w="6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color w:val="000000"/>
                <w:sz w:val="20"/>
                <w:szCs w:val="20"/>
                <w:shd w:val="clear" w:color="auto" w:fill="FFFFFF"/>
                <w:lang w:bidi="ru-RU"/>
              </w:rPr>
            </w:pPr>
            <w:r w:rsidRPr="0042058C">
              <w:rPr>
                <w:rFonts w:ascii="Times New Roman" w:eastAsia="Calibri" w:hAnsi="Times New Roman" w:cs="Times New Roman"/>
                <w:color w:val="000000"/>
                <w:sz w:val="20"/>
                <w:szCs w:val="20"/>
                <w:shd w:val="clear" w:color="auto" w:fill="FFFFFF"/>
                <w:lang w:bidi="ru-RU"/>
              </w:rPr>
              <w:t>-</w:t>
            </w:r>
          </w:p>
        </w:tc>
        <w:tc>
          <w:tcPr>
            <w:tcW w:w="9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shd w:val="clear" w:color="auto" w:fill="FFFFFF"/>
                <w:lang w:bidi="ru-RU"/>
              </w:rPr>
              <w:t>-</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noProof/>
          <w:sz w:val="20"/>
          <w:szCs w:val="20"/>
          <w:lang w:eastAsia="ru-RU"/>
        </w:rPr>
      </w:pPr>
      <w:r w:rsidRPr="0042058C">
        <w:rPr>
          <w:rFonts w:ascii="Times New Roman" w:eastAsia="Times New Roman" w:hAnsi="Times New Roman" w:cs="Times New Roman"/>
          <w:noProof/>
          <w:sz w:val="20"/>
          <w:szCs w:val="20"/>
          <w:lang w:eastAsia="ru-RU"/>
        </w:rPr>
        <w:t>* Количество больничных коек, посещений в смену</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Общая обеспеченность коечным фондом населения Труновского муниципального округа составляет 52,3 единицы на 10000 человек населения при среднекраевом показателе 80,6 коек на 10000 человек населения (таблица). Показатель в муниципальном округе низок, что не позволяет населению получать медицинскую помощь в полной мере.</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413C8">
        <w:rPr>
          <w:rFonts w:ascii="Times New Roman" w:eastAsia="Times New Roman" w:hAnsi="Times New Roman" w:cs="Times New Roman"/>
          <w:noProof/>
          <w:sz w:val="28"/>
          <w:szCs w:val="28"/>
          <w:lang w:eastAsia="ru-RU"/>
        </w:rPr>
        <w:t>39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системы здравоохранения Труновского муниципального округа, 2019 г.</w:t>
      </w:r>
      <w:r w:rsidRPr="0042058C">
        <w:rPr>
          <w:rFonts w:ascii="Times New Roman" w:eastAsia="Times New Roman" w:hAnsi="Times New Roman" w:cs="Times New Roman"/>
          <w:noProof/>
          <w:sz w:val="28"/>
          <w:szCs w:val="28"/>
          <w:vertAlign w:val="superscript"/>
          <w:lang w:eastAsia="ru-RU"/>
        </w:rPr>
        <w:footnoteReference w:id="64"/>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37"/>
        <w:gridCol w:w="4290"/>
        <w:gridCol w:w="943"/>
      </w:tblGrid>
      <w:tr w:rsidR="0042058C" w:rsidRPr="0042058C" w:rsidTr="0042058C">
        <w:trPr>
          <w:jc w:val="center"/>
        </w:trPr>
        <w:tc>
          <w:tcPr>
            <w:tcW w:w="22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показателей</w:t>
            </w:r>
          </w:p>
        </w:tc>
        <w:tc>
          <w:tcPr>
            <w:tcW w:w="228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Единица</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 измерения</w:t>
            </w:r>
          </w:p>
        </w:tc>
        <w:tc>
          <w:tcPr>
            <w:tcW w:w="503"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2020 г.</w:t>
            </w:r>
          </w:p>
        </w:tc>
      </w:tr>
      <w:tr w:rsidR="0042058C" w:rsidRPr="0042058C" w:rsidTr="0042058C">
        <w:trPr>
          <w:trHeight w:val="234"/>
          <w:jc w:val="center"/>
        </w:trPr>
        <w:tc>
          <w:tcPr>
            <w:tcW w:w="220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Число больничных учреждений</w:t>
            </w:r>
          </w:p>
        </w:tc>
        <w:tc>
          <w:tcPr>
            <w:tcW w:w="22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503" w:type="pct"/>
            <w:shd w:val="clear" w:color="auto" w:fill="auto"/>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w:t>
            </w:r>
          </w:p>
        </w:tc>
      </w:tr>
      <w:tr w:rsidR="0042058C" w:rsidRPr="0042058C" w:rsidTr="0042058C">
        <w:trPr>
          <w:trHeight w:val="234"/>
          <w:jc w:val="center"/>
        </w:trPr>
        <w:tc>
          <w:tcPr>
            <w:tcW w:w="220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Обеспеченность врачами на 10 тыс. населения</w:t>
            </w:r>
          </w:p>
        </w:tc>
        <w:tc>
          <w:tcPr>
            <w:tcW w:w="22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503" w:type="pct"/>
            <w:shd w:val="clear" w:color="auto" w:fill="auto"/>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29,3</w:t>
            </w:r>
          </w:p>
        </w:tc>
      </w:tr>
      <w:tr w:rsidR="0042058C" w:rsidRPr="0042058C" w:rsidTr="0042058C">
        <w:trPr>
          <w:trHeight w:val="234"/>
          <w:jc w:val="center"/>
        </w:trPr>
        <w:tc>
          <w:tcPr>
            <w:tcW w:w="220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Обеспеченность средними медицинскими работниками на 10 тыс. населения</w:t>
            </w:r>
          </w:p>
        </w:tc>
        <w:tc>
          <w:tcPr>
            <w:tcW w:w="22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5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69,2</w:t>
            </w:r>
          </w:p>
        </w:tc>
      </w:tr>
      <w:tr w:rsidR="0042058C" w:rsidRPr="0042058C" w:rsidTr="0042058C">
        <w:trPr>
          <w:jc w:val="center"/>
        </w:trPr>
        <w:tc>
          <w:tcPr>
            <w:tcW w:w="220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Число больничных коек, всего</w:t>
            </w:r>
          </w:p>
        </w:tc>
        <w:tc>
          <w:tcPr>
            <w:tcW w:w="22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коек</w:t>
            </w:r>
          </w:p>
        </w:tc>
        <w:tc>
          <w:tcPr>
            <w:tcW w:w="503" w:type="pct"/>
            <w:shd w:val="clear" w:color="auto" w:fill="auto"/>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156,00</w:t>
            </w:r>
          </w:p>
        </w:tc>
      </w:tr>
      <w:tr w:rsidR="0042058C" w:rsidRPr="0042058C" w:rsidTr="0042058C">
        <w:trPr>
          <w:jc w:val="center"/>
        </w:trPr>
        <w:tc>
          <w:tcPr>
            <w:tcW w:w="220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vertAlign w:val="superscript"/>
              </w:rPr>
            </w:pPr>
            <w:r w:rsidRPr="0042058C">
              <w:rPr>
                <w:rFonts w:ascii="Times New Roman" w:eastAsia="Calibri" w:hAnsi="Times New Roman" w:cs="Times New Roman"/>
                <w:sz w:val="20"/>
                <w:szCs w:val="20"/>
              </w:rPr>
              <w:t>на 10000 человек населения</w:t>
            </w:r>
          </w:p>
        </w:tc>
        <w:tc>
          <w:tcPr>
            <w:tcW w:w="22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503" w:type="pct"/>
            <w:shd w:val="clear" w:color="auto" w:fill="auto"/>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52,30</w:t>
            </w:r>
          </w:p>
        </w:tc>
      </w:tr>
      <w:tr w:rsidR="0042058C" w:rsidRPr="0042058C" w:rsidTr="0042058C">
        <w:trPr>
          <w:jc w:val="center"/>
        </w:trPr>
        <w:tc>
          <w:tcPr>
            <w:tcW w:w="2208" w:type="pct"/>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Среднее число дней использования койки                 в году</w:t>
            </w:r>
          </w:p>
        </w:tc>
        <w:tc>
          <w:tcPr>
            <w:tcW w:w="228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дней</w:t>
            </w:r>
          </w:p>
        </w:tc>
        <w:tc>
          <w:tcPr>
            <w:tcW w:w="503" w:type="pct"/>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321,00</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rPr>
                <w:rFonts w:ascii="Times New Roman" w:eastAsia="Calibri" w:hAnsi="Times New Roman" w:cs="Times New Roman"/>
                <w:sz w:val="20"/>
                <w:szCs w:val="20"/>
                <w:vertAlign w:val="superscript"/>
              </w:rPr>
            </w:pPr>
            <w:r w:rsidRPr="0042058C">
              <w:rPr>
                <w:rFonts w:ascii="Times New Roman" w:eastAsia="Calibri" w:hAnsi="Times New Roman" w:cs="Times New Roman"/>
                <w:sz w:val="20"/>
                <w:szCs w:val="20"/>
              </w:rPr>
              <w:t>Мощность поликлиник, всего</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посещений в смену</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600,00</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10000 человек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w:t>
            </w:r>
          </w:p>
        </w:tc>
        <w:tc>
          <w:tcPr>
            <w:tcW w:w="503"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201,00</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Число посещений амбулаторно-поликлинических учреждений</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посещений на 1 жителя</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9,43</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 в дневных стационарах</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51,00</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Обеспеченность местами в дневных стационарах на 10 тыс.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17,10</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Средняя занятость мест в году в дневных стационарах</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мест</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448,3</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Среднее число дней лечения</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дней</w:t>
            </w:r>
          </w:p>
        </w:tc>
        <w:tc>
          <w:tcPr>
            <w:tcW w:w="50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9,5</w:t>
            </w:r>
          </w:p>
        </w:tc>
      </w:tr>
      <w:tr w:rsidR="0042058C" w:rsidRPr="0042058C" w:rsidTr="0042058C">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Уровень госпитализации на 1000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spacing w:after="0" w:line="240" w:lineRule="auto"/>
              <w:jc w:val="center"/>
              <w:rPr>
                <w:rFonts w:ascii="Times New Roman" w:eastAsia="Calibri" w:hAnsi="Times New Roman" w:cs="Times New Roman"/>
                <w:spacing w:val="-4"/>
                <w:sz w:val="20"/>
                <w:szCs w:val="20"/>
              </w:rPr>
            </w:pPr>
            <w:r w:rsidRPr="0042058C">
              <w:rPr>
                <w:rFonts w:ascii="Times New Roman" w:eastAsia="Calibri" w:hAnsi="Times New Roman" w:cs="Times New Roman"/>
                <w:spacing w:val="-4"/>
                <w:sz w:val="20"/>
                <w:szCs w:val="20"/>
              </w:rPr>
              <w:t>чел.</w:t>
            </w:r>
          </w:p>
        </w:tc>
        <w:tc>
          <w:tcPr>
            <w:tcW w:w="503" w:type="pct"/>
            <w:tcBorders>
              <w:top w:val="single" w:sz="6" w:space="0" w:color="auto"/>
              <w:left w:val="single" w:sz="6" w:space="0" w:color="auto"/>
              <w:bottom w:val="single" w:sz="6" w:space="0" w:color="auto"/>
              <w:right w:val="single" w:sz="6" w:space="0" w:color="auto"/>
            </w:tcBorders>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150,40</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Отрицательным фактором оказания медицинской помощи в округе является высокий уровень смертности в трудоспособном возрасте                         на 1000 чел. населения – 5,0. По данному показателю Труновский муниципальный округ занимает второе место после Советского городского округа с показателем 5,2, в то время как краевой показатель равен </w:t>
      </w:r>
      <w:r w:rsidR="0028178A">
        <w:rPr>
          <w:rFonts w:ascii="Times New Roman" w:eastAsia="Times New Roman" w:hAnsi="Times New Roman" w:cs="Times New Roman"/>
          <w:noProof/>
          <w:sz w:val="28"/>
          <w:szCs w:val="28"/>
          <w:lang w:eastAsia="ru-RU"/>
        </w:rPr>
        <w:t xml:space="preserve">                       3,5, </w:t>
      </w:r>
      <w:r w:rsidRPr="0042058C">
        <w:rPr>
          <w:rFonts w:ascii="Times New Roman" w:eastAsia="Times New Roman" w:hAnsi="Times New Roman" w:cs="Times New Roman"/>
          <w:noProof/>
          <w:sz w:val="28"/>
          <w:szCs w:val="28"/>
          <w:lang w:eastAsia="ru-RU"/>
        </w:rPr>
        <w:t>а самый низкий показатель в г. Кисловодске – 2,0 (рисунок).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375BD8C8" wp14:editId="59984B65">
            <wp:extent cx="5909945" cy="2891155"/>
            <wp:effectExtent l="0" t="0" r="0" b="444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смертности населения в трудоспособном возрасте на 1000 чел. населения в Труновском муниципальном округе и других территориальных образованиях Ставропольского края, 2019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Труновский муниципальный округ также на первом месте в крае среди заболеваемости населения туберкулезом. Так, в 2019 г. на 100 тыс. чел. постоянного населения зарегистрировано 47,6 больных с диагнозом, установленным впервые в жизни. Средний показатель по краю – 27,5.</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Округ также – в числе территориальных единиц края с самой высокой больничной летальностью – 2,44%, в то время как показатель по краю составляет 1,6%, а самый низкий показатель в Степновском муниципальном округе – 0,13%.</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За 2019 г. в Труновском муниципальном округе вырос показатель заболеваемости психическими расстройствами на 3,6%.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Заболеваемость злокачественными новообразованиями увеличилась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13 территориальных образованиях края, в том числе и в Труновском муниципальном округе – 537,5 на 100 тыс. чел. населения. В Ставропольском крае в целом показатель равен 410,7.</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Положительным фактором развития здравоохранения является отсутствие зарегистрированных больных наркоманией в округе.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Сложившаяся в округе ситуация показывает низкий уровень оказания медицинской помощи. Необходимо проведение мероприятий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привлечению новых компетентных специалистов, несмотря на то, что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округе отмечается один из самых высоких по краю показателей укомплектованности врачами. Одной из важных задач должно стать переоснащение медицинских зданий новой современной технической базой для возможности проведения качественного обследования населения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ранних стадиях заболевания.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Нерешенной проблемой является значительный износ большинства зданий ГБУЗ СК «Труновская районная больница». Проведение капитального ремонта зданий также является одной из важных задач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округе.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3</w:t>
      </w:r>
      <w:r w:rsidR="00E413C8">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Культура.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Сеть многофункциональных учреждений культуры на территории Труновского муниципального округа представлена домами культуры, библиотеками, музеями и организациями дополнительного образования.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базе учреждений культуры проводятся культурно-досуговые мероприятия для всех возрастных категорий населения.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Так, отрасль культуры муниципального округа включает в себя: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17 библиотек;</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15 домов культуры и сельских клубов;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2 музея;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3 детские музыкальные школы;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 детская художественная школа.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w:t>
      </w:r>
      <w:r w:rsidR="00E413C8">
        <w:rPr>
          <w:rFonts w:ascii="Times New Roman" w:eastAsia="Times New Roman" w:hAnsi="Times New Roman" w:cs="Times New Roman"/>
          <w:noProof/>
          <w:sz w:val="28"/>
          <w:szCs w:val="28"/>
          <w:lang w:eastAsia="ru-RU"/>
        </w:rPr>
        <w:t>лица 40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объектов культурно-досугового назначения (библиотеки) Труновского муниципального округа в разрезе территориальных отделов,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02"/>
        <w:gridCol w:w="1621"/>
        <w:gridCol w:w="1115"/>
        <w:gridCol w:w="983"/>
        <w:gridCol w:w="1181"/>
        <w:gridCol w:w="1851"/>
        <w:gridCol w:w="1115"/>
      </w:tblGrid>
      <w:tr w:rsidR="0042058C" w:rsidRPr="0042058C" w:rsidTr="0042058C">
        <w:trPr>
          <w:trHeight w:val="327"/>
        </w:trPr>
        <w:tc>
          <w:tcPr>
            <w:tcW w:w="871"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Территориальное управление</w:t>
            </w:r>
          </w:p>
        </w:tc>
        <w:tc>
          <w:tcPr>
            <w:tcW w:w="1185"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Наименование учреждения (адрес)</w:t>
            </w:r>
          </w:p>
        </w:tc>
        <w:tc>
          <w:tcPr>
            <w:tcW w:w="444"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Количество ед. хранения</w:t>
            </w:r>
          </w:p>
        </w:tc>
        <w:tc>
          <w:tcPr>
            <w:tcW w:w="890" w:type="pct"/>
            <w:gridSpan w:val="2"/>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Вместимость, мест</w:t>
            </w:r>
          </w:p>
        </w:tc>
        <w:tc>
          <w:tcPr>
            <w:tcW w:w="963"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Состояние зданий и сооружений </w:t>
            </w:r>
          </w:p>
        </w:tc>
        <w:tc>
          <w:tcPr>
            <w:tcW w:w="647"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Количество работников (ставка)</w:t>
            </w:r>
          </w:p>
        </w:tc>
      </w:tr>
      <w:tr w:rsidR="0042058C" w:rsidRPr="0042058C" w:rsidTr="0042058C">
        <w:trPr>
          <w:trHeight w:val="63"/>
        </w:trPr>
        <w:tc>
          <w:tcPr>
            <w:tcW w:w="871"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1185"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444"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445"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проектная</w:t>
            </w:r>
          </w:p>
        </w:tc>
        <w:tc>
          <w:tcPr>
            <w:tcW w:w="445"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фактическая</w:t>
            </w:r>
          </w:p>
        </w:tc>
        <w:tc>
          <w:tcPr>
            <w:tcW w:w="963"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647"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r>
      <w:tr w:rsidR="0042058C" w:rsidRPr="0042058C" w:rsidTr="0042058C">
        <w:trPr>
          <w:trHeight w:val="20"/>
        </w:trPr>
        <w:tc>
          <w:tcPr>
            <w:tcW w:w="871"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1185"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Центральная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45089</w:t>
            </w:r>
          </w:p>
        </w:tc>
        <w:tc>
          <w:tcPr>
            <w:tcW w:w="44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24</w:t>
            </w:r>
          </w:p>
        </w:tc>
        <w:tc>
          <w:tcPr>
            <w:tcW w:w="44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№5 «Донская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13399</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№6 «Донская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12351</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 15</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12397</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 16</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«Донская детская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25387</w:t>
            </w:r>
          </w:p>
        </w:tc>
        <w:tc>
          <w:tcPr>
            <w:tcW w:w="44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w:t>
            </w:r>
          </w:p>
        </w:tc>
        <w:tc>
          <w:tcPr>
            <w:tcW w:w="44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w:t>
            </w:r>
          </w:p>
        </w:tc>
      </w:tr>
      <w:tr w:rsidR="0042058C" w:rsidRPr="0042058C" w:rsidTr="0042058C">
        <w:trPr>
          <w:trHeight w:val="20"/>
        </w:trPr>
        <w:tc>
          <w:tcPr>
            <w:tcW w:w="871"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№1 «Труновская сельская библиотека им.                         А.Д. Бахтинова»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25973</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14</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№2 «Труновская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26585</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14</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№7 «Труновская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20260</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№8 «Труновская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7895</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№9 «Ключевская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8671</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№3 «Безопасненская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25546</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16</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№4 «Безопасненская детская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14294</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16</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№11 «Безопасненская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8789</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№14</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«Безопасненская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10704</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 10</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«Кировская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16061</w:t>
            </w:r>
          </w:p>
        </w:tc>
        <w:tc>
          <w:tcPr>
            <w:tcW w:w="890" w:type="pct"/>
            <w:gridSpan w:val="2"/>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w:t>
            </w:r>
          </w:p>
        </w:tc>
      </w:tr>
      <w:tr w:rsidR="0042058C" w:rsidRPr="0042058C" w:rsidTr="0042058C">
        <w:trPr>
          <w:trHeight w:val="20"/>
        </w:trPr>
        <w:tc>
          <w:tcPr>
            <w:tcW w:w="8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118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Филиал №12 «Подлесненская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27247</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1185" w:type="pct"/>
            <w:shd w:val="clear" w:color="auto" w:fill="auto"/>
            <w:vAlign w:val="center"/>
          </w:tcPr>
          <w:p w:rsidR="0042058C" w:rsidRPr="0042058C" w:rsidRDefault="0042058C" w:rsidP="0042058C">
            <w:pPr>
              <w:widowControl w:val="0"/>
              <w:suppressAutoHyphens/>
              <w:autoSpaceDN w:val="0"/>
              <w:spacing w:after="0" w:line="240" w:lineRule="auto"/>
              <w:textAlignment w:val="baseline"/>
              <w:rPr>
                <w:rFonts w:ascii="Times New Roman" w:eastAsia="Arial Unicode MS" w:hAnsi="Times New Roman" w:cs="Times New Roman"/>
                <w:kern w:val="3"/>
                <w:sz w:val="20"/>
                <w:szCs w:val="20"/>
                <w:lang w:eastAsia="ru-RU"/>
              </w:rPr>
            </w:pPr>
            <w:r w:rsidRPr="0042058C">
              <w:rPr>
                <w:rFonts w:ascii="Times New Roman" w:eastAsia="Arial Unicode MS" w:hAnsi="Times New Roman" w:cs="Times New Roman"/>
                <w:kern w:val="3"/>
                <w:sz w:val="20"/>
                <w:szCs w:val="20"/>
                <w:lang w:eastAsia="ru-RU"/>
              </w:rPr>
              <w:t>Филиал № 13</w:t>
            </w:r>
          </w:p>
          <w:p w:rsidR="0042058C" w:rsidRPr="0042058C" w:rsidRDefault="0042058C" w:rsidP="0042058C">
            <w:pPr>
              <w:widowControl w:val="0"/>
              <w:suppressAutoHyphens/>
              <w:autoSpaceDN w:val="0"/>
              <w:spacing w:after="0" w:line="240" w:lineRule="auto"/>
              <w:textAlignment w:val="baseline"/>
              <w:rPr>
                <w:rFonts w:ascii="Times New Roman" w:eastAsia="Arial Unicode MS" w:hAnsi="Times New Roman" w:cs="Times New Roman"/>
                <w:kern w:val="3"/>
                <w:sz w:val="20"/>
                <w:szCs w:val="20"/>
                <w:lang w:eastAsia="ru-RU"/>
              </w:rPr>
            </w:pPr>
            <w:r w:rsidRPr="0042058C">
              <w:rPr>
                <w:rFonts w:ascii="Times New Roman" w:eastAsia="Arial Unicode MS" w:hAnsi="Times New Roman" w:cs="Times New Roman"/>
                <w:kern w:val="3"/>
                <w:sz w:val="20"/>
                <w:szCs w:val="20"/>
                <w:lang w:eastAsia="ru-RU"/>
              </w:rPr>
              <w:t>«Ново-Кугультинская сельская библиотека»</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13113</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8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185" w:type="pct"/>
            <w:shd w:val="clear" w:color="auto" w:fill="auto"/>
            <w:vAlign w:val="center"/>
          </w:tcPr>
          <w:p w:rsidR="0042058C" w:rsidRPr="0042058C" w:rsidRDefault="0042058C" w:rsidP="0042058C">
            <w:pPr>
              <w:widowControl w:val="0"/>
              <w:suppressAutoHyphens/>
              <w:autoSpaceDN w:val="0"/>
              <w:spacing w:after="0" w:line="240" w:lineRule="auto"/>
              <w:textAlignment w:val="baseline"/>
              <w:rPr>
                <w:rFonts w:ascii="Times New Roman" w:eastAsia="Arial Unicode MS" w:hAnsi="Times New Roman" w:cs="Times New Roman"/>
                <w:kern w:val="3"/>
                <w:sz w:val="20"/>
                <w:szCs w:val="20"/>
                <w:lang w:eastAsia="ru-RU"/>
              </w:rPr>
            </w:pPr>
            <w:r w:rsidRPr="0042058C">
              <w:rPr>
                <w:rFonts w:ascii="Times New Roman" w:eastAsia="Arial Unicode MS" w:hAnsi="Times New Roman" w:cs="Times New Roman"/>
                <w:kern w:val="3"/>
                <w:sz w:val="20"/>
                <w:szCs w:val="20"/>
              </w:rPr>
              <w:t>Всего в округе</w:t>
            </w:r>
          </w:p>
        </w:tc>
        <w:tc>
          <w:tcPr>
            <w:tcW w:w="444"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313761</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98</w:t>
            </w:r>
          </w:p>
        </w:tc>
        <w:tc>
          <w:tcPr>
            <w:tcW w:w="445"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168</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4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37</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Одно из наиболее крупных направлений в культурной сфере округа занимают сельские дома культуры, позволяющие обеспечивать досуг населению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объектов культурно-досугового назначения (Дома культуры, сельские клубы) Труновского муниципального округа в разрезе территориальных отделов,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2459"/>
        <w:gridCol w:w="1076"/>
        <w:gridCol w:w="1181"/>
        <w:gridCol w:w="1851"/>
        <w:gridCol w:w="1158"/>
      </w:tblGrid>
      <w:tr w:rsidR="0042058C" w:rsidRPr="0042058C" w:rsidTr="0042058C">
        <w:trPr>
          <w:trHeight w:val="390"/>
        </w:trPr>
        <w:tc>
          <w:tcPr>
            <w:tcW w:w="950"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Территориальное управление</w:t>
            </w:r>
          </w:p>
        </w:tc>
        <w:tc>
          <w:tcPr>
            <w:tcW w:w="1328"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Наименование учреждения </w:t>
            </w:r>
          </w:p>
        </w:tc>
        <w:tc>
          <w:tcPr>
            <w:tcW w:w="1118" w:type="pct"/>
            <w:gridSpan w:val="2"/>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Вместимость (мест)</w:t>
            </w:r>
          </w:p>
        </w:tc>
        <w:tc>
          <w:tcPr>
            <w:tcW w:w="963"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Состояние зданий и сооружений </w:t>
            </w:r>
          </w:p>
        </w:tc>
        <w:tc>
          <w:tcPr>
            <w:tcW w:w="641"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Количество работников</w:t>
            </w:r>
          </w:p>
        </w:tc>
      </w:tr>
      <w:tr w:rsidR="0042058C" w:rsidRPr="0042058C" w:rsidTr="0042058C">
        <w:trPr>
          <w:trHeight w:val="299"/>
        </w:trPr>
        <w:tc>
          <w:tcPr>
            <w:tcW w:w="950"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1328"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59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проектная</w:t>
            </w:r>
          </w:p>
        </w:tc>
        <w:tc>
          <w:tcPr>
            <w:tcW w:w="520"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фактическая</w:t>
            </w:r>
          </w:p>
        </w:tc>
        <w:tc>
          <w:tcPr>
            <w:tcW w:w="963"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641"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r>
      <w:tr w:rsidR="0042058C" w:rsidRPr="0042058C" w:rsidTr="0042058C">
        <w:trPr>
          <w:trHeight w:val="20"/>
        </w:trPr>
        <w:tc>
          <w:tcPr>
            <w:tcW w:w="950" w:type="pct"/>
            <w:vMerge w:val="restar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 с. Донском</w:t>
            </w: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МКУКиС «Донской культурно-спортивный комплекс»</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326</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326</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20</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ДК «Спутник»</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ДК «Дружба»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ДК «Невдахинский»</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МКУ «Культурно-досуговый центр «Дружба»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251</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251</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ДК «Родина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СДК «Родина»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w:t>
            </w:r>
          </w:p>
        </w:tc>
      </w:tr>
      <w:tr w:rsidR="0042058C" w:rsidRPr="0042058C" w:rsidTr="0042058C">
        <w:trPr>
          <w:trHeight w:val="20"/>
        </w:trPr>
        <w:tc>
          <w:tcPr>
            <w:tcW w:w="9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«Безопасненский культурно-досуговый центр»</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780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619</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13</w:t>
            </w:r>
          </w:p>
        </w:tc>
      </w:tr>
      <w:tr w:rsidR="0042058C" w:rsidRPr="0042058C" w:rsidTr="0042058C">
        <w:trPr>
          <w:trHeight w:val="20"/>
        </w:trPr>
        <w:tc>
          <w:tcPr>
            <w:tcW w:w="950"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«Культурно-досуговое объединение «Исток»</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Сельский клуб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Правоегорлыкский</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Сельский клуб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Новотерновский</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Сельский клуб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Нижняя Терновка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20"/>
        </w:trPr>
        <w:tc>
          <w:tcPr>
            <w:tcW w:w="950"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Сельский клуб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Сухой Лог</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35</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требуется</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капительный ремонт</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w:t>
            </w:r>
          </w:p>
        </w:tc>
      </w:tr>
      <w:tr w:rsidR="0042058C" w:rsidRPr="0042058C" w:rsidTr="0042058C">
        <w:trPr>
          <w:trHeight w:val="131"/>
        </w:trPr>
        <w:tc>
          <w:tcPr>
            <w:tcW w:w="9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МКУК «Дом культуры            с. Подлесного»</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6</w:t>
            </w:r>
          </w:p>
        </w:tc>
      </w:tr>
      <w:tr w:rsidR="0042058C" w:rsidRPr="0042058C" w:rsidTr="0042058C">
        <w:trPr>
          <w:trHeight w:val="405"/>
        </w:trPr>
        <w:tc>
          <w:tcPr>
            <w:tcW w:w="9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МКУК «СДК                              с. Новая Кугульта»</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200</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200</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удовлетворительное</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w:t>
            </w:r>
          </w:p>
        </w:tc>
      </w:tr>
      <w:tr w:rsidR="0042058C" w:rsidRPr="0042058C" w:rsidTr="0042058C">
        <w:trPr>
          <w:trHeight w:val="225"/>
        </w:trPr>
        <w:tc>
          <w:tcPr>
            <w:tcW w:w="9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32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Всего в округе</w:t>
            </w:r>
          </w:p>
        </w:tc>
        <w:tc>
          <w:tcPr>
            <w:tcW w:w="59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2837</w:t>
            </w:r>
          </w:p>
        </w:tc>
        <w:tc>
          <w:tcPr>
            <w:tcW w:w="52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2471</w:t>
            </w:r>
          </w:p>
        </w:tc>
        <w:tc>
          <w:tcPr>
            <w:tcW w:w="96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641"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67</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Другая ступень просветительской деятельности – музеи, театры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кинотеатры. На территории муниципального округа имеется два музея,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их характеристика приводится ниже.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объектов культурно-досугового назначения (кинотеатр, театр, музей) Труновского муниципального округа,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75"/>
        <w:gridCol w:w="1129"/>
        <w:gridCol w:w="985"/>
        <w:gridCol w:w="1181"/>
        <w:gridCol w:w="1858"/>
        <w:gridCol w:w="1240"/>
      </w:tblGrid>
      <w:tr w:rsidR="0042058C" w:rsidRPr="0042058C" w:rsidTr="0042058C">
        <w:trPr>
          <w:trHeight w:val="313"/>
        </w:trPr>
        <w:tc>
          <w:tcPr>
            <w:tcW w:w="1641"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Наименование учреждения</w:t>
            </w:r>
          </w:p>
        </w:tc>
        <w:tc>
          <w:tcPr>
            <w:tcW w:w="613" w:type="pct"/>
            <w:vMerge w:val="restar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Кол-во ед. хранения</w:t>
            </w:r>
          </w:p>
        </w:tc>
        <w:tc>
          <w:tcPr>
            <w:tcW w:w="1077" w:type="pct"/>
            <w:gridSpan w:val="2"/>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Вместимость</w:t>
            </w:r>
          </w:p>
        </w:tc>
        <w:tc>
          <w:tcPr>
            <w:tcW w:w="998"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Состояние зданий и сооружений </w:t>
            </w:r>
          </w:p>
        </w:tc>
        <w:tc>
          <w:tcPr>
            <w:tcW w:w="671"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Количество работников</w:t>
            </w:r>
          </w:p>
        </w:tc>
      </w:tr>
      <w:tr w:rsidR="0042058C" w:rsidRPr="0042058C" w:rsidTr="0042058C">
        <w:trPr>
          <w:trHeight w:val="273"/>
        </w:trPr>
        <w:tc>
          <w:tcPr>
            <w:tcW w:w="1641"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613" w:type="pct"/>
            <w:vMerge/>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53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проектная</w:t>
            </w:r>
          </w:p>
        </w:tc>
        <w:tc>
          <w:tcPr>
            <w:tcW w:w="540"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фактическая</w:t>
            </w:r>
          </w:p>
        </w:tc>
        <w:tc>
          <w:tcPr>
            <w:tcW w:w="998"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671"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r>
      <w:tr w:rsidR="0042058C" w:rsidRPr="0042058C" w:rsidTr="0042058C">
        <w:trPr>
          <w:trHeight w:val="20"/>
        </w:trPr>
        <w:tc>
          <w:tcPr>
            <w:tcW w:w="16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МБУК «Музей ТМО» (с. Донское)</w:t>
            </w:r>
          </w:p>
        </w:tc>
        <w:tc>
          <w:tcPr>
            <w:tcW w:w="613"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7702</w:t>
            </w:r>
          </w:p>
        </w:tc>
        <w:tc>
          <w:tcPr>
            <w:tcW w:w="537"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540"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998"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7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r>
      <w:tr w:rsidR="0042058C" w:rsidRPr="0042058C" w:rsidTr="0042058C">
        <w:trPr>
          <w:trHeight w:val="20"/>
        </w:trPr>
        <w:tc>
          <w:tcPr>
            <w:tcW w:w="16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«Музей им. К.А. Трунова»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c>
          <w:tcPr>
            <w:tcW w:w="613"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4076</w:t>
            </w:r>
          </w:p>
        </w:tc>
        <w:tc>
          <w:tcPr>
            <w:tcW w:w="537"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540"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998"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c>
          <w:tcPr>
            <w:tcW w:w="67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r>
      <w:tr w:rsidR="0042058C" w:rsidRPr="0042058C" w:rsidTr="0042058C">
        <w:trPr>
          <w:trHeight w:val="20"/>
        </w:trPr>
        <w:tc>
          <w:tcPr>
            <w:tcW w:w="16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Всего в Труновском муниципальном округе</w:t>
            </w:r>
          </w:p>
        </w:tc>
        <w:tc>
          <w:tcPr>
            <w:tcW w:w="613"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11778</w:t>
            </w:r>
          </w:p>
        </w:tc>
        <w:tc>
          <w:tcPr>
            <w:tcW w:w="537"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90</w:t>
            </w:r>
          </w:p>
        </w:tc>
        <w:tc>
          <w:tcPr>
            <w:tcW w:w="540"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90</w:t>
            </w:r>
          </w:p>
        </w:tc>
        <w:tc>
          <w:tcPr>
            <w:tcW w:w="998"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67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8</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43</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Учреждения дополнительного образования в сфере культуры на территории Труновского муниципального округа,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97"/>
        <w:gridCol w:w="1333"/>
        <w:gridCol w:w="1333"/>
        <w:gridCol w:w="1333"/>
        <w:gridCol w:w="2272"/>
      </w:tblGrid>
      <w:tr w:rsidR="0042058C" w:rsidRPr="0042058C" w:rsidTr="0042058C">
        <w:trPr>
          <w:trHeight w:val="373"/>
        </w:trPr>
        <w:tc>
          <w:tcPr>
            <w:tcW w:w="1688" w:type="pct"/>
            <w:vMerge w:val="restar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Наименование учреждения </w:t>
            </w:r>
          </w:p>
        </w:tc>
        <w:tc>
          <w:tcPr>
            <w:tcW w:w="1408" w:type="pct"/>
            <w:gridSpan w:val="2"/>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 мест</w:t>
            </w:r>
          </w:p>
        </w:tc>
        <w:tc>
          <w:tcPr>
            <w:tcW w:w="704" w:type="pct"/>
            <w:vMerge w:val="restar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Количество работников</w:t>
            </w:r>
          </w:p>
        </w:tc>
        <w:tc>
          <w:tcPr>
            <w:tcW w:w="1201" w:type="pct"/>
            <w:vMerge w:val="restar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Состояние зданий и сооружений </w:t>
            </w:r>
          </w:p>
        </w:tc>
      </w:tr>
      <w:tr w:rsidR="0042058C" w:rsidRPr="0042058C" w:rsidTr="0042058C">
        <w:trPr>
          <w:trHeight w:val="63"/>
        </w:trPr>
        <w:tc>
          <w:tcPr>
            <w:tcW w:w="1688" w:type="pct"/>
            <w:vMerge/>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704"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проектная</w:t>
            </w:r>
          </w:p>
        </w:tc>
        <w:tc>
          <w:tcPr>
            <w:tcW w:w="704"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фактическая</w:t>
            </w:r>
          </w:p>
        </w:tc>
        <w:tc>
          <w:tcPr>
            <w:tcW w:w="704" w:type="pct"/>
            <w:vMerge/>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01" w:type="pct"/>
            <w:vMerge/>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r>
      <w:tr w:rsidR="0042058C" w:rsidRPr="0042058C" w:rsidTr="0042058C">
        <w:trPr>
          <w:trHeight w:val="315"/>
        </w:trPr>
        <w:tc>
          <w:tcPr>
            <w:tcW w:w="1688" w:type="pct"/>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ДО «Детская музыкальная школа с. Донское»</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c>
          <w:tcPr>
            <w:tcW w:w="704"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296</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w:t>
            </w:r>
          </w:p>
        </w:tc>
        <w:tc>
          <w:tcPr>
            <w:tcW w:w="120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r>
      <w:tr w:rsidR="0042058C" w:rsidRPr="0042058C" w:rsidTr="0042058C">
        <w:trPr>
          <w:trHeight w:val="70"/>
        </w:trPr>
        <w:tc>
          <w:tcPr>
            <w:tcW w:w="168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ДО «Детская художественная школа с. Донское»</w:t>
            </w:r>
          </w:p>
        </w:tc>
        <w:tc>
          <w:tcPr>
            <w:tcW w:w="1408" w:type="pct"/>
            <w:gridSpan w:val="2"/>
            <w:shd w:val="clear" w:color="auto" w:fill="auto"/>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занимает помещение по договору безвозмездного пользования</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w:t>
            </w:r>
          </w:p>
        </w:tc>
        <w:tc>
          <w:tcPr>
            <w:tcW w:w="120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удовлетворительное</w:t>
            </w:r>
          </w:p>
        </w:tc>
      </w:tr>
      <w:tr w:rsidR="0042058C" w:rsidRPr="0042058C" w:rsidTr="0042058C">
        <w:trPr>
          <w:trHeight w:val="556"/>
        </w:trPr>
        <w:tc>
          <w:tcPr>
            <w:tcW w:w="168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ДО «Детская музыкальная школа с. Труновское»</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704"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12</w:t>
            </w:r>
          </w:p>
        </w:tc>
        <w:tc>
          <w:tcPr>
            <w:tcW w:w="120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строительство нового здания (выделен земельный участок)</w:t>
            </w:r>
          </w:p>
        </w:tc>
      </w:tr>
      <w:tr w:rsidR="0042058C" w:rsidRPr="0042058C" w:rsidTr="0042058C">
        <w:trPr>
          <w:trHeight w:val="127"/>
        </w:trPr>
        <w:tc>
          <w:tcPr>
            <w:tcW w:w="168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МКУ ДО «Детская музыкальная школа с. Безопасное»</w:t>
            </w:r>
          </w:p>
        </w:tc>
        <w:tc>
          <w:tcPr>
            <w:tcW w:w="1408" w:type="pct"/>
            <w:gridSpan w:val="2"/>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занимает помещение по договору безвозмездного пользования</w:t>
            </w:r>
          </w:p>
        </w:tc>
        <w:tc>
          <w:tcPr>
            <w:tcW w:w="704"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201"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требуется капитальный ремонт</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Сеть учреждений культуры Труновского муниципального округа нуждается в преобразовании. Здания домов культуры устарели, как внешне, так и внутренне. Необходимо заменить оснащение учреждений для предоставления населению комфортных условий пребывания и пользования предоставляемыми услугами.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w:t>
      </w:r>
      <w:r w:rsidR="00E413C8">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Физическая культура и спорт.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предоставления жителям муниципального округа физкультурно-оздоровительных услуг спортивная база округа располагает 34 спортивными сооружениями, 13 спортивными залами и 1 спортивным стадионом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спортивного стадиона на территории Труновского муниципального округа,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3"/>
        <w:gridCol w:w="2393"/>
        <w:gridCol w:w="2393"/>
      </w:tblGrid>
      <w:tr w:rsidR="0042058C" w:rsidRPr="0042058C" w:rsidTr="0042058C">
        <w:trPr>
          <w:trHeight w:val="70"/>
        </w:trPr>
        <w:tc>
          <w:tcPr>
            <w:tcW w:w="23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Территориальный отдел</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Наименование стадиона</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Вместимость объекта, мест</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vertAlign w:val="superscript"/>
              </w:rPr>
            </w:pPr>
            <w:r w:rsidRPr="0042058C">
              <w:rPr>
                <w:rFonts w:ascii="Times New Roman" w:eastAsia="Calibri" w:hAnsi="Times New Roman" w:cs="Times New Roman"/>
                <w:color w:val="000000"/>
                <w:sz w:val="20"/>
                <w:szCs w:val="20"/>
              </w:rPr>
              <w:t>Площадь, м</w:t>
            </w:r>
            <w:r w:rsidRPr="0042058C">
              <w:rPr>
                <w:rFonts w:ascii="Times New Roman" w:eastAsia="Calibri" w:hAnsi="Times New Roman" w:cs="Times New Roman"/>
                <w:color w:val="000000"/>
                <w:sz w:val="20"/>
                <w:szCs w:val="20"/>
                <w:vertAlign w:val="superscript"/>
              </w:rPr>
              <w:t>2</w:t>
            </w:r>
          </w:p>
        </w:tc>
      </w:tr>
      <w:tr w:rsidR="0042058C" w:rsidRPr="0042058C" w:rsidTr="0042058C">
        <w:tc>
          <w:tcPr>
            <w:tcW w:w="2392"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стадион села Донского</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c>
          <w:tcPr>
            <w:tcW w:w="23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28409</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Услуги спортивной направленности для детского населения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Труновском муниципальном округе оказывает детско-юношеская спортивная школа в селе Донском. ДЮСШ имеет спортивную базу общей площадью 356 </w:t>
      </w:r>
      <w:r w:rsidR="0028178A">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 xml:space="preserve">м. По данным Комитета по физической культуре и спорту администрации Труновского муниципального округа по состоянию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01.01.2021 г. в спортивной школе занималось 309 детей.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Одним из наиболее действенных способов привлечения населения </w:t>
      </w:r>
      <w:r w:rsidR="0028178A">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к занятиям спортом является размещение на территории населенных пунктов округа многофункциональных спортивных площадок. Труновский муниципальный округ располагает необходимыми ресурсами для обустройства территорий уличными спортивными объектами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спортивных сооружений на территории Труновского муниципального округа, 2021 г.</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566"/>
        <w:gridCol w:w="2943"/>
        <w:gridCol w:w="3941"/>
        <w:gridCol w:w="1912"/>
      </w:tblGrid>
      <w:tr w:rsidR="0042058C" w:rsidRPr="0042058C" w:rsidTr="0042058C">
        <w:trPr>
          <w:trHeight w:val="547"/>
        </w:trPr>
        <w:tc>
          <w:tcPr>
            <w:tcW w:w="302" w:type="pct"/>
            <w:tcBorders>
              <w:top w:val="single" w:sz="4" w:space="0" w:color="auto"/>
              <w:left w:val="single" w:sz="4" w:space="0" w:color="auto"/>
              <w:bottom w:val="single" w:sz="4" w:space="0" w:color="auto"/>
              <w:right w:val="single" w:sz="4"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п/п</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Наименование территориального отдела</w:t>
            </w:r>
          </w:p>
        </w:tc>
        <w:tc>
          <w:tcPr>
            <w:tcW w:w="2105" w:type="pct"/>
            <w:tcBorders>
              <w:top w:val="single" w:sz="4" w:space="0" w:color="auto"/>
              <w:left w:val="single" w:sz="4" w:space="0" w:color="auto"/>
              <w:bottom w:val="single" w:sz="4" w:space="0" w:color="auto"/>
              <w:right w:val="single" w:sz="4" w:space="0" w:color="auto"/>
            </w:tcBorders>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rPr>
              <w:t>Универсальные спортивные площадки, футбольные поля, гимнастические площадки, комплексная спортивная площадка, шт.</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Площадь,</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vertAlign w:val="superscript"/>
                <w:lang w:eastAsia="ru-RU"/>
              </w:rPr>
            </w:pPr>
            <w:r w:rsidRPr="0042058C">
              <w:rPr>
                <w:rFonts w:ascii="Times New Roman" w:eastAsia="Times New Roman" w:hAnsi="Times New Roman" w:cs="Times New Roman"/>
                <w:color w:val="000000"/>
                <w:sz w:val="20"/>
                <w:szCs w:val="20"/>
                <w:lang w:eastAsia="ru-RU"/>
              </w:rPr>
              <w:t>м</w:t>
            </w:r>
            <w:r w:rsidRPr="0042058C">
              <w:rPr>
                <w:rFonts w:ascii="Times New Roman" w:eastAsia="Times New Roman" w:hAnsi="Times New Roman" w:cs="Times New Roman"/>
                <w:color w:val="000000"/>
                <w:sz w:val="20"/>
                <w:szCs w:val="20"/>
                <w:vertAlign w:val="superscript"/>
                <w:lang w:eastAsia="ru-RU"/>
              </w:rPr>
              <w:t>2</w:t>
            </w:r>
          </w:p>
        </w:tc>
      </w:tr>
      <w:tr w:rsidR="0042058C" w:rsidRPr="0042058C" w:rsidTr="0042058C">
        <w:trPr>
          <w:trHeight w:val="70"/>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w:t>
            </w:r>
          </w:p>
        </w:tc>
        <w:tc>
          <w:tcPr>
            <w:tcW w:w="1572" w:type="pct"/>
            <w:tcBorders>
              <w:top w:val="single" w:sz="4" w:space="0" w:color="auto"/>
              <w:left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16</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6470</w:t>
            </w:r>
          </w:p>
        </w:tc>
      </w:tr>
      <w:tr w:rsidR="0042058C" w:rsidRPr="0042058C" w:rsidTr="0042058C">
        <w:trPr>
          <w:trHeight w:val="58"/>
        </w:trPr>
        <w:tc>
          <w:tcPr>
            <w:tcW w:w="30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w:t>
            </w:r>
          </w:p>
        </w:tc>
        <w:tc>
          <w:tcPr>
            <w:tcW w:w="157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Безопасном</w:t>
            </w:r>
          </w:p>
        </w:tc>
        <w:tc>
          <w:tcPr>
            <w:tcW w:w="2105"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6650</w:t>
            </w:r>
          </w:p>
        </w:tc>
      </w:tr>
      <w:tr w:rsidR="0042058C" w:rsidRPr="0042058C" w:rsidTr="0042058C">
        <w:trPr>
          <w:trHeight w:val="176"/>
        </w:trPr>
        <w:tc>
          <w:tcPr>
            <w:tcW w:w="30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157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Новая Кугульта</w:t>
            </w:r>
          </w:p>
        </w:tc>
        <w:tc>
          <w:tcPr>
            <w:tcW w:w="2105"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1436</w:t>
            </w:r>
          </w:p>
        </w:tc>
      </w:tr>
      <w:tr w:rsidR="0042058C" w:rsidRPr="0042058C" w:rsidTr="0042058C">
        <w:trPr>
          <w:trHeight w:val="222"/>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Подлесном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800</w:t>
            </w:r>
          </w:p>
        </w:tc>
      </w:tr>
      <w:tr w:rsidR="0042058C" w:rsidRPr="0042058C" w:rsidTr="0042058C">
        <w:trPr>
          <w:trHeight w:val="126"/>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Труновском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9168</w:t>
            </w:r>
          </w:p>
        </w:tc>
      </w:tr>
      <w:tr w:rsidR="0042058C" w:rsidRPr="0042058C" w:rsidTr="0042058C">
        <w:trPr>
          <w:trHeight w:val="70"/>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п. им. Кирова</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8692</w:t>
            </w:r>
          </w:p>
        </w:tc>
      </w:tr>
      <w:tr w:rsidR="0042058C" w:rsidRPr="0042058C" w:rsidTr="0042058C">
        <w:trPr>
          <w:trHeight w:val="164"/>
        </w:trPr>
        <w:tc>
          <w:tcPr>
            <w:tcW w:w="302" w:type="pct"/>
            <w:tcBorders>
              <w:top w:val="single" w:sz="4" w:space="0" w:color="auto"/>
              <w:left w:val="single" w:sz="4" w:space="0" w:color="auto"/>
              <w:right w:val="single" w:sz="4" w:space="0" w:color="auto"/>
            </w:tcBorders>
            <w:shd w:val="clear" w:color="auto" w:fill="FFFFFF"/>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Всего</w:t>
            </w:r>
            <w:r w:rsidRPr="0042058C">
              <w:rPr>
                <w:rFonts w:ascii="Times New Roman" w:eastAsia="Times New Roman" w:hAnsi="Times New Roman" w:cs="Times New Roman"/>
                <w:color w:val="00000A"/>
                <w:sz w:val="20"/>
                <w:szCs w:val="20"/>
                <w:lang w:eastAsia="ru-RU"/>
              </w:rPr>
              <w:t xml:space="preserve"> </w:t>
            </w:r>
            <w:r w:rsidRPr="0042058C">
              <w:rPr>
                <w:rFonts w:ascii="Times New Roman" w:eastAsia="Times New Roman" w:hAnsi="Times New Roman" w:cs="Times New Roman"/>
                <w:color w:val="000000"/>
                <w:sz w:val="20"/>
                <w:szCs w:val="20"/>
                <w:lang w:eastAsia="ru-RU"/>
              </w:rPr>
              <w:t>в Труновском муниципальном округе</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34</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32216</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Спортивные залы в Труновском муниципальном округе, в основном, представлены на базе общеобразовательных учреждений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спортивных залов на территории Труновского муниципального округа, 2021 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78"/>
        <w:gridCol w:w="3009"/>
        <w:gridCol w:w="4029"/>
        <w:gridCol w:w="1954"/>
      </w:tblGrid>
      <w:tr w:rsidR="0042058C" w:rsidRPr="0042058C" w:rsidTr="0042058C">
        <w:trPr>
          <w:trHeight w:val="70"/>
        </w:trPr>
        <w:tc>
          <w:tcPr>
            <w:tcW w:w="302" w:type="pct"/>
            <w:tcBorders>
              <w:top w:val="single" w:sz="4" w:space="0" w:color="auto"/>
              <w:left w:val="single" w:sz="4" w:space="0" w:color="auto"/>
              <w:bottom w:val="single" w:sz="4" w:space="0" w:color="auto"/>
              <w:right w:val="single" w:sz="4"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п/п</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Наименование территориального отдела</w:t>
            </w:r>
          </w:p>
        </w:tc>
        <w:tc>
          <w:tcPr>
            <w:tcW w:w="2105" w:type="pct"/>
            <w:tcBorders>
              <w:top w:val="single" w:sz="4" w:space="0" w:color="auto"/>
              <w:left w:val="single" w:sz="4" w:space="0" w:color="auto"/>
              <w:bottom w:val="single" w:sz="4" w:space="0" w:color="auto"/>
              <w:right w:val="single" w:sz="4" w:space="0" w:color="auto"/>
            </w:tcBorders>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rPr>
              <w:t>Пришкольные спортивные залы, тренажерные залы, универсальные спортивные залы, шт.</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Площадь,</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vertAlign w:val="superscript"/>
                <w:lang w:eastAsia="ru-RU"/>
              </w:rPr>
            </w:pPr>
            <w:r w:rsidRPr="0042058C">
              <w:rPr>
                <w:rFonts w:ascii="Times New Roman" w:eastAsia="Times New Roman" w:hAnsi="Times New Roman" w:cs="Times New Roman"/>
                <w:color w:val="000000"/>
                <w:sz w:val="20"/>
                <w:szCs w:val="20"/>
                <w:lang w:eastAsia="ru-RU"/>
              </w:rPr>
              <w:t>м</w:t>
            </w:r>
            <w:r w:rsidRPr="0042058C">
              <w:rPr>
                <w:rFonts w:ascii="Times New Roman" w:eastAsia="Times New Roman" w:hAnsi="Times New Roman" w:cs="Times New Roman"/>
                <w:color w:val="000000"/>
                <w:sz w:val="20"/>
                <w:szCs w:val="20"/>
                <w:vertAlign w:val="superscript"/>
                <w:lang w:eastAsia="ru-RU"/>
              </w:rPr>
              <w:t>2</w:t>
            </w:r>
          </w:p>
        </w:tc>
      </w:tr>
      <w:tr w:rsidR="0042058C" w:rsidRPr="0042058C" w:rsidTr="0042058C">
        <w:trPr>
          <w:trHeight w:val="70"/>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w:t>
            </w:r>
          </w:p>
        </w:tc>
        <w:tc>
          <w:tcPr>
            <w:tcW w:w="1572" w:type="pct"/>
            <w:tcBorders>
              <w:top w:val="single" w:sz="4" w:space="0" w:color="auto"/>
              <w:left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1188</w:t>
            </w:r>
          </w:p>
        </w:tc>
      </w:tr>
      <w:tr w:rsidR="0042058C" w:rsidRPr="0042058C" w:rsidTr="0042058C">
        <w:trPr>
          <w:trHeight w:val="58"/>
        </w:trPr>
        <w:tc>
          <w:tcPr>
            <w:tcW w:w="30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w:t>
            </w:r>
          </w:p>
        </w:tc>
        <w:tc>
          <w:tcPr>
            <w:tcW w:w="157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Безопасном</w:t>
            </w:r>
          </w:p>
        </w:tc>
        <w:tc>
          <w:tcPr>
            <w:tcW w:w="2105"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000000"/>
                <w:sz w:val="20"/>
                <w:szCs w:val="20"/>
              </w:rPr>
              <w:t>576</w:t>
            </w:r>
          </w:p>
        </w:tc>
      </w:tr>
      <w:tr w:rsidR="0042058C" w:rsidRPr="0042058C" w:rsidTr="0042058C">
        <w:trPr>
          <w:trHeight w:val="176"/>
        </w:trPr>
        <w:tc>
          <w:tcPr>
            <w:tcW w:w="30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1572"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Новая Кугульта</w:t>
            </w:r>
          </w:p>
        </w:tc>
        <w:tc>
          <w:tcPr>
            <w:tcW w:w="2105" w:type="pct"/>
            <w:tcBorders>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162</w:t>
            </w:r>
          </w:p>
        </w:tc>
      </w:tr>
      <w:tr w:rsidR="0042058C" w:rsidRPr="0042058C" w:rsidTr="0042058C">
        <w:trPr>
          <w:trHeight w:val="222"/>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Подлесном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162</w:t>
            </w:r>
          </w:p>
        </w:tc>
      </w:tr>
      <w:tr w:rsidR="0042058C" w:rsidRPr="0042058C" w:rsidTr="0042058C">
        <w:trPr>
          <w:trHeight w:val="126"/>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Труновском</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486</w:t>
            </w:r>
          </w:p>
        </w:tc>
      </w:tr>
      <w:tr w:rsidR="0042058C" w:rsidRPr="0042058C" w:rsidTr="0042058C">
        <w:trPr>
          <w:trHeight w:val="70"/>
        </w:trPr>
        <w:tc>
          <w:tcPr>
            <w:tcW w:w="30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w:t>
            </w: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п. им. Кирова</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162</w:t>
            </w:r>
          </w:p>
        </w:tc>
      </w:tr>
      <w:tr w:rsidR="0042058C" w:rsidRPr="0042058C" w:rsidTr="0042058C">
        <w:trPr>
          <w:trHeight w:val="164"/>
        </w:trPr>
        <w:tc>
          <w:tcPr>
            <w:tcW w:w="302" w:type="pct"/>
            <w:tcBorders>
              <w:top w:val="single" w:sz="4" w:space="0" w:color="auto"/>
              <w:left w:val="single" w:sz="4" w:space="0" w:color="auto"/>
              <w:right w:val="single" w:sz="4" w:space="0" w:color="auto"/>
            </w:tcBorders>
            <w:shd w:val="clear" w:color="auto" w:fill="FFFFFF"/>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p>
        </w:tc>
        <w:tc>
          <w:tcPr>
            <w:tcW w:w="157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Всего</w:t>
            </w:r>
            <w:r w:rsidRPr="0042058C">
              <w:rPr>
                <w:rFonts w:ascii="Times New Roman" w:eastAsia="Times New Roman" w:hAnsi="Times New Roman" w:cs="Times New Roman"/>
                <w:color w:val="00000A"/>
                <w:sz w:val="20"/>
                <w:szCs w:val="20"/>
                <w:lang w:eastAsia="ru-RU"/>
              </w:rPr>
              <w:t xml:space="preserve"> </w:t>
            </w:r>
            <w:r w:rsidRPr="0042058C">
              <w:rPr>
                <w:rFonts w:ascii="Times New Roman" w:eastAsia="Times New Roman" w:hAnsi="Times New Roman" w:cs="Times New Roman"/>
                <w:color w:val="000000"/>
                <w:sz w:val="20"/>
                <w:szCs w:val="20"/>
                <w:lang w:eastAsia="ru-RU"/>
              </w:rPr>
              <w:t>в Труновском муниципальном округе</w:t>
            </w:r>
          </w:p>
        </w:tc>
        <w:tc>
          <w:tcPr>
            <w:tcW w:w="2105"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w:t>
            </w:r>
          </w:p>
        </w:tc>
        <w:tc>
          <w:tcPr>
            <w:tcW w:w="1021"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2736</w:t>
            </w:r>
          </w:p>
        </w:tc>
      </w:tr>
    </w:tbl>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муниципальном округе отмечается недостаточная обеспеченность спортивными сооружениями – 11,2% и спортивными залами – 45,8%. Несмотря на наличие разветвленной сети спортивных объектов, нормативные показатели не достигают необходимого уровня.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Население муниципального округа заинтересовано в предоставлении услуг спортивной направленности. Достаточное количество спортивных объектов способствует развитию населения в этом направлении. Количество населения, занимающегося спортом в территориальном отделе села Донского, занимает половину от всех тренирующихся в округе (таблицы ниже).</w:t>
      </w:r>
    </w:p>
    <w:p w:rsidR="000E5508" w:rsidRDefault="000E550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Основные показатели развития физкультуры и спорта на территории Труновского муниципального округа по состоянию на 01.01.2021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276"/>
        <w:gridCol w:w="1164"/>
      </w:tblGrid>
      <w:tr w:rsidR="0042058C" w:rsidRPr="0042058C" w:rsidTr="0042058C">
        <w:trPr>
          <w:cantSplit/>
        </w:trPr>
        <w:tc>
          <w:tcPr>
            <w:tcW w:w="680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Показатель</w:t>
            </w:r>
          </w:p>
        </w:tc>
        <w:tc>
          <w:tcPr>
            <w:tcW w:w="1276"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Единица измерения</w:t>
            </w:r>
          </w:p>
        </w:tc>
        <w:tc>
          <w:tcPr>
            <w:tcW w:w="116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Кол-во</w:t>
            </w:r>
          </w:p>
        </w:tc>
      </w:tr>
      <w:tr w:rsidR="0042058C" w:rsidRPr="0042058C" w:rsidTr="0042058C">
        <w:trPr>
          <w:cantSplit/>
        </w:trPr>
        <w:tc>
          <w:tcPr>
            <w:tcW w:w="68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Численность занимающихся в детско-юношеских спортивных школах</w:t>
            </w:r>
          </w:p>
        </w:tc>
        <w:tc>
          <w:tcPr>
            <w:tcW w:w="1276"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человек</w:t>
            </w:r>
          </w:p>
        </w:tc>
        <w:tc>
          <w:tcPr>
            <w:tcW w:w="116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309</w:t>
            </w:r>
          </w:p>
        </w:tc>
      </w:tr>
      <w:tr w:rsidR="0042058C" w:rsidRPr="0042058C" w:rsidTr="0042058C">
        <w:trPr>
          <w:cantSplit/>
        </w:trPr>
        <w:tc>
          <w:tcPr>
            <w:tcW w:w="68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Численность занимающихся физической культурой и спортом</w:t>
            </w:r>
          </w:p>
        </w:tc>
        <w:tc>
          <w:tcPr>
            <w:tcW w:w="1276"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человек</w:t>
            </w:r>
          </w:p>
        </w:tc>
        <w:tc>
          <w:tcPr>
            <w:tcW w:w="116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13329</w:t>
            </w:r>
          </w:p>
        </w:tc>
      </w:tr>
      <w:tr w:rsidR="0042058C" w:rsidRPr="0042058C" w:rsidTr="0042058C">
        <w:trPr>
          <w:cantSplit/>
        </w:trPr>
        <w:tc>
          <w:tcPr>
            <w:tcW w:w="68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Доля населения, систематически занимающегося физической культурой               и спортом</w:t>
            </w:r>
          </w:p>
        </w:tc>
        <w:tc>
          <w:tcPr>
            <w:tcW w:w="1276"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w:t>
            </w:r>
          </w:p>
        </w:tc>
        <w:tc>
          <w:tcPr>
            <w:tcW w:w="116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highlight w:val="yellow"/>
              </w:rPr>
            </w:pPr>
            <w:r w:rsidRPr="0042058C">
              <w:rPr>
                <w:rFonts w:ascii="Times New Roman" w:eastAsia="Calibri" w:hAnsi="Times New Roman" w:cs="Times New Roman"/>
                <w:color w:val="000000"/>
                <w:sz w:val="20"/>
                <w:szCs w:val="20"/>
              </w:rPr>
              <w:t>47,4</w:t>
            </w:r>
          </w:p>
        </w:tc>
      </w:tr>
      <w:tr w:rsidR="0042058C" w:rsidRPr="0042058C" w:rsidTr="0042058C">
        <w:trPr>
          <w:cantSplit/>
        </w:trPr>
        <w:tc>
          <w:tcPr>
            <w:tcW w:w="68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Доля обучающихся, систематически занимающихся физической культурой и спортом, в общей численности обучающихся</w:t>
            </w:r>
          </w:p>
        </w:tc>
        <w:tc>
          <w:tcPr>
            <w:tcW w:w="1276"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w:t>
            </w:r>
          </w:p>
        </w:tc>
        <w:tc>
          <w:tcPr>
            <w:tcW w:w="116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92,1</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Количество занимающихся физической культурой и спортом                                    в Труновском муниципальном округе в разрезе территориальных отделов               по состоянию на 01.01.2021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10"/>
        <w:gridCol w:w="4251"/>
        <w:gridCol w:w="4395"/>
      </w:tblGrid>
      <w:tr w:rsidR="0042058C" w:rsidRPr="0042058C" w:rsidTr="0042058C">
        <w:trPr>
          <w:trHeight w:val="547"/>
        </w:trPr>
        <w:tc>
          <w:tcPr>
            <w:tcW w:w="379" w:type="pct"/>
            <w:tcBorders>
              <w:top w:val="single" w:sz="4" w:space="0" w:color="auto"/>
              <w:left w:val="single" w:sz="4" w:space="0" w:color="auto"/>
              <w:bottom w:val="single" w:sz="4" w:space="0" w:color="auto"/>
              <w:right w:val="single" w:sz="4" w:space="0" w:color="auto"/>
            </w:tcBorders>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п/п</w:t>
            </w:r>
          </w:p>
        </w:tc>
        <w:tc>
          <w:tcPr>
            <w:tcW w:w="2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Наименование территориального отдела</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Количество занимающихся физической культурой и спортом, чел.</w:t>
            </w:r>
          </w:p>
        </w:tc>
      </w:tr>
      <w:tr w:rsidR="0042058C" w:rsidRPr="0042058C" w:rsidTr="0042058C">
        <w:trPr>
          <w:trHeight w:val="58"/>
        </w:trPr>
        <w:tc>
          <w:tcPr>
            <w:tcW w:w="379"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w:t>
            </w:r>
          </w:p>
        </w:tc>
        <w:tc>
          <w:tcPr>
            <w:tcW w:w="2272" w:type="pct"/>
            <w:tcBorders>
              <w:top w:val="single" w:sz="4" w:space="0" w:color="auto"/>
              <w:left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5837</w:t>
            </w:r>
          </w:p>
        </w:tc>
      </w:tr>
      <w:tr w:rsidR="0042058C" w:rsidRPr="0042058C" w:rsidTr="0042058C">
        <w:trPr>
          <w:trHeight w:val="58"/>
        </w:trPr>
        <w:tc>
          <w:tcPr>
            <w:tcW w:w="379"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w:t>
            </w:r>
          </w:p>
        </w:tc>
        <w:tc>
          <w:tcPr>
            <w:tcW w:w="2272" w:type="pct"/>
            <w:tcBorders>
              <w:top w:val="single" w:sz="4" w:space="0" w:color="auto"/>
              <w:left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Безопасном</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2784</w:t>
            </w:r>
          </w:p>
        </w:tc>
      </w:tr>
      <w:tr w:rsidR="0042058C" w:rsidRPr="0042058C" w:rsidTr="0042058C">
        <w:trPr>
          <w:trHeight w:val="134"/>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Новая Кугульта</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280</w:t>
            </w:r>
          </w:p>
        </w:tc>
      </w:tr>
      <w:tr w:rsidR="0042058C" w:rsidRPr="0042058C" w:rsidTr="0042058C">
        <w:trPr>
          <w:trHeight w:val="58"/>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w:t>
            </w:r>
          </w:p>
        </w:tc>
        <w:tc>
          <w:tcPr>
            <w:tcW w:w="2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Подлесном</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681</w:t>
            </w:r>
          </w:p>
        </w:tc>
      </w:tr>
      <w:tr w:rsidR="0042058C" w:rsidRPr="0042058C" w:rsidTr="0042058C">
        <w:trPr>
          <w:trHeight w:val="58"/>
        </w:trPr>
        <w:tc>
          <w:tcPr>
            <w:tcW w:w="379"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2272" w:type="pct"/>
            <w:tcBorders>
              <w:top w:val="single" w:sz="4" w:space="0" w:color="auto"/>
              <w:left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Труновском</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2632</w:t>
            </w:r>
          </w:p>
        </w:tc>
      </w:tr>
      <w:tr w:rsidR="0042058C" w:rsidRPr="0042058C" w:rsidTr="0042058C">
        <w:trPr>
          <w:trHeight w:val="58"/>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w:t>
            </w:r>
          </w:p>
        </w:tc>
        <w:tc>
          <w:tcPr>
            <w:tcW w:w="2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п. им. Кирова</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1115</w:t>
            </w:r>
          </w:p>
        </w:tc>
      </w:tr>
      <w:tr w:rsidR="0042058C" w:rsidRPr="0042058C" w:rsidTr="0042058C">
        <w:trPr>
          <w:trHeight w:val="58"/>
        </w:trPr>
        <w:tc>
          <w:tcPr>
            <w:tcW w:w="379" w:type="pct"/>
            <w:tcBorders>
              <w:top w:val="single" w:sz="4" w:space="0" w:color="auto"/>
              <w:left w:val="single" w:sz="4" w:space="0" w:color="auto"/>
              <w:bottom w:val="single" w:sz="4" w:space="0" w:color="auto"/>
              <w:right w:val="single" w:sz="4" w:space="0" w:color="auto"/>
            </w:tcBorders>
            <w:shd w:val="clear" w:color="auto" w:fill="FFFFFF"/>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p>
        </w:tc>
        <w:tc>
          <w:tcPr>
            <w:tcW w:w="2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Всего в Труновском муниципальном округе</w:t>
            </w:r>
          </w:p>
        </w:tc>
        <w:tc>
          <w:tcPr>
            <w:tcW w:w="2349"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13329</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Спортивная сфера округа не развита в достаточной степени.                          В настоящее время основными направлениями развития физической культуры и спорта должны стать:</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капитальный ремонт спортивных залов, находящихся </w:t>
      </w:r>
      <w:r w:rsidR="000E550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общеобразовательных учреждениях;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строительство физкультурно-оздоровительных комплексов в крупных сельских населенных пунктах;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строительство комплексных спортивных площадок во всех населенных пунктах;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строительство бассейна общего пользования;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строительство площадок для установки комплектов спортивно-технологического оборудования для подготовки и сдачи нормативов испытаний (тестов) в соответствии со Всероссийским физкультурно-спортивным комплексом «Готов к труду и обороне» (ГТО).</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5</w:t>
      </w:r>
      <w:r w:rsidR="00E413C8">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Социальное обслуживание.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территории Труновского муниципального округа действует одно учреждение социальной защиты населения – ГБУСО «Труновский комплексный центр социального обслуживания населения» (далее – КЦСОН) (таблица). Главным действующим звеном в структуре Центра социального обслуживания являются отделения социального обслуживания на дому (далее – ОСО).</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49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системы социального обслуживания в ГБУСО «Труновский КЦСОН», 2021 г.</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253"/>
      </w:tblGrid>
      <w:tr w:rsidR="0042058C" w:rsidRPr="0042058C" w:rsidTr="0042058C">
        <w:trPr>
          <w:cantSplit/>
        </w:trPr>
        <w:tc>
          <w:tcPr>
            <w:tcW w:w="5103"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Наименование отделения центра</w:t>
            </w:r>
          </w:p>
        </w:tc>
        <w:tc>
          <w:tcPr>
            <w:tcW w:w="4253"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Местоположение</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№1</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№2</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№3</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Подлесное,</w:t>
            </w:r>
            <w:r w:rsidRPr="0042058C">
              <w:rPr>
                <w:rFonts w:ascii="Times New Roman" w:eastAsia="Calibri" w:hAnsi="Times New Roman" w:cs="Times New Roman"/>
                <w:color w:val="282828"/>
                <w:sz w:val="20"/>
                <w:szCs w:val="20"/>
                <w:shd w:val="clear" w:color="auto" w:fill="FFFFFF"/>
              </w:rPr>
              <w:t xml:space="preserve"> </w:t>
            </w:r>
            <w:r w:rsidRPr="0042058C">
              <w:rPr>
                <w:rFonts w:ascii="Times New Roman" w:eastAsia="Calibri" w:hAnsi="Times New Roman" w:cs="Times New Roman"/>
                <w:color w:val="000000"/>
                <w:sz w:val="20"/>
                <w:szCs w:val="20"/>
              </w:rPr>
              <w:t>ул. Ленина, 88 «а»</w:t>
            </w:r>
          </w:p>
        </w:tc>
      </w:tr>
      <w:tr w:rsidR="0042058C" w:rsidRPr="0042058C" w:rsidTr="0042058C">
        <w:trPr>
          <w:cantSplit/>
          <w:trHeight w:val="77"/>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№4</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Труновское, ул. Гагарина,6; с. Ключевское</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№5, 7</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Безопасное,</w:t>
            </w:r>
            <w:r w:rsidRPr="0042058C">
              <w:rPr>
                <w:rFonts w:ascii="Times New Roman" w:eastAsia="Calibri" w:hAnsi="Times New Roman" w:cs="Times New Roman"/>
                <w:color w:val="282828"/>
                <w:sz w:val="20"/>
                <w:szCs w:val="20"/>
                <w:shd w:val="clear" w:color="auto" w:fill="FFFFFF"/>
              </w:rPr>
              <w:t xml:space="preserve"> </w:t>
            </w:r>
            <w:r w:rsidRPr="0042058C">
              <w:rPr>
                <w:rFonts w:ascii="Times New Roman" w:eastAsia="Calibri" w:hAnsi="Times New Roman" w:cs="Times New Roman"/>
                <w:color w:val="000000"/>
                <w:sz w:val="20"/>
                <w:szCs w:val="20"/>
              </w:rPr>
              <w:t>ул. Ленина, 59</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ОСО на дому №6</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Труновское, ул. Гагарина,6; п. им. Кирова</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Специализированное отделение социально-медицинского обслуживания на дому (СОСМО)</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Труновское; с. Безопасное; с. Подлесное</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Отделение срочного социального обслуживания</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Социально-оздоровительное отделение</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Отделение реабилитации детей и подростков с ограниченными возможностями здоровья</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Отделение профилактики безнадзорности несовершеннолетних</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Донское, ул. Кооперативная, 26</w:t>
            </w:r>
          </w:p>
        </w:tc>
      </w:tr>
      <w:tr w:rsidR="0042058C" w:rsidRPr="0042058C" w:rsidTr="0042058C">
        <w:trPr>
          <w:cantSplit/>
        </w:trPr>
        <w:tc>
          <w:tcPr>
            <w:tcW w:w="510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Социальная комната</w:t>
            </w:r>
          </w:p>
        </w:tc>
        <w:tc>
          <w:tcPr>
            <w:tcW w:w="4253"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 Подлесное</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 итогам 2020 года социальным обслуживанием были охвачены              14 населенных пунктов Труновского муниципального округа. Количество обслуженных лиц составило 2487 человек (таблица). Целью деятельности центра является оказание квалифицированной комплексной социально-медицинской помощи гражданам.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Показатели социального обслуживания в ГБУСО «Труновский КЦСОН» </w:t>
      </w:r>
      <w:r w:rsidR="000E550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конец 2020 г.</w:t>
      </w:r>
      <w:r w:rsidRPr="0042058C">
        <w:rPr>
          <w:rFonts w:ascii="Times New Roman" w:eastAsia="Times New Roman" w:hAnsi="Times New Roman" w:cs="Times New Roman"/>
          <w:noProof/>
          <w:sz w:val="28"/>
          <w:szCs w:val="28"/>
          <w:vertAlign w:val="superscript"/>
          <w:lang w:eastAsia="ru-RU"/>
        </w:rPr>
        <w:footnoteReference w:id="65"/>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04"/>
        <w:gridCol w:w="1752"/>
      </w:tblGrid>
      <w:tr w:rsidR="0042058C" w:rsidRPr="0042058C" w:rsidTr="0042058C">
        <w:trPr>
          <w:cantSplit/>
        </w:trPr>
        <w:tc>
          <w:tcPr>
            <w:tcW w:w="7604"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Наименование показателя</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Значение</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населенных пунктов, охваченных социальным (социально-медицинским) обслуживанием</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населенных пунктов, охваченных выездными формами работы</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пенсионеров в округе, чел.,</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том числе:</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10553</w:t>
            </w:r>
          </w:p>
        </w:tc>
      </w:tr>
      <w:tr w:rsidR="0042058C" w:rsidRPr="0042058C" w:rsidTr="0042058C">
        <w:trPr>
          <w:cantSplit/>
          <w:trHeight w:val="77"/>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пенсионеров по возрасту</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8150</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инвалидов трудоспособного возраста</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3183</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ветеранов войны в округе, чел.,</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том числе:</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195</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участников ВОВ</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инвалидов ВОВ</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вдов погибших (умерших) инвалидов, участников ВОВ</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 (56)</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тружеников тыла</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128</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Количество лиц, обслуженных всеми структурными подразделениями </w:t>
            </w:r>
            <w:r w:rsidRPr="0042058C">
              <w:rPr>
                <w:rFonts w:ascii="Times New Roman" w:eastAsia="Calibri" w:hAnsi="Times New Roman" w:cs="Times New Roman"/>
                <w:sz w:val="20"/>
                <w:szCs w:val="20"/>
                <w:lang w:eastAsia="ar-SA"/>
              </w:rPr>
              <w:t>(</w:t>
            </w:r>
            <w:r w:rsidRPr="0042058C">
              <w:rPr>
                <w:rFonts w:ascii="Times New Roman" w:eastAsia="Calibri" w:hAnsi="Times New Roman" w:cs="Times New Roman"/>
                <w:color w:val="000000"/>
                <w:sz w:val="20"/>
                <w:szCs w:val="20"/>
              </w:rPr>
              <w:t>без учета количества лиц, обслуженных отделениями по работе с несовершеннолетними), чел./чел. в% к общему числу населения округа, из них:</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2487/8</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услуги в форме социального обслуживания на дому</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1180/47,4</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услуги в полустационарной форме социального обслуживания</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1307/52,6</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социально-бытовые услуги</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1240/49,9</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социально-медицинские услуги</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862/34,7</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социально-психологические услуги</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97/3,7</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социально-педагогические услуги</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49/2,0</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получивших срочные социальные услуги</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1087/43,7</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лиц, поставленных на очередь для получения направления на оздоровление в государственное бюджетное учреждение социального обслуживания населения «Краевой социально-оздоровительный центр «Кавказ» в г. Ессентуки, чел.</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лиц, поставленных на очередь и получивших технические средства реабилитации, не входящие в федеральный перечень и протезно-ортопедические изделия, чел.</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Количество лиц, получивших услуги в соответствии с индивидуальной программой реабилитации и абилитации инвалида (ИПРА), чел.</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298</w:t>
            </w:r>
          </w:p>
        </w:tc>
      </w:tr>
      <w:tr w:rsidR="0042058C" w:rsidRPr="0042058C" w:rsidTr="0042058C">
        <w:trPr>
          <w:cantSplit/>
        </w:trPr>
        <w:tc>
          <w:tcPr>
            <w:tcW w:w="7604" w:type="dxa"/>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Численность граждан, признанных нуждающимися в социальном обслуживании, чел.,</w:t>
            </w:r>
          </w:p>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том числе:</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1632</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стационарной форме социального обслуживания, чел.</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форме социального обслуживания на дому, чел.</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319</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полустационарной форме социального обслуживания, чел., из них:</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1307</w:t>
            </w:r>
          </w:p>
        </w:tc>
      </w:tr>
      <w:tr w:rsidR="0042058C" w:rsidRPr="0042058C" w:rsidTr="0042058C">
        <w:trPr>
          <w:cantSplit/>
        </w:trPr>
        <w:tc>
          <w:tcPr>
            <w:tcW w:w="7604" w:type="dxa"/>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 предоставлении срочных социальных услуг</w:t>
            </w:r>
          </w:p>
        </w:tc>
        <w:tc>
          <w:tcPr>
            <w:tcW w:w="1752" w:type="dxa"/>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1087</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Центр социального обслуживания Труновского муниципального округа в полной мере выполняет свои обязанности по обеспечению населения перечнем социальных услуг. Для создания наиболее комфортных условий пациентов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10. Жилищное хозяйство является той сферой экономики, которая обеспечивает надлежащее состояние и функционирование жилого фонда. </w:t>
      </w:r>
      <w:r w:rsidR="000E550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От него, в свою очередь, напрямую зависит уровень жизни населения муниципального округа. Жилищный фонд – основная часть жилищного хозяйства.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объектами инженерной инфраструктуры </w:t>
      </w:r>
      <w:r w:rsidR="000E550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изношенности, капитальный ремонт жилищного фонда, обеспечение населения жильем. Распределение жилых помещений и условия </w:t>
      </w:r>
      <w:r w:rsidR="000E550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их использования определяют социальную значимость сферы в целом.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жилищного фонда Труновского муниципального округа приведена ниже.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413C8">
        <w:rPr>
          <w:rFonts w:ascii="Times New Roman" w:eastAsia="Times New Roman" w:hAnsi="Times New Roman" w:cs="Times New Roman"/>
          <w:noProof/>
          <w:sz w:val="28"/>
          <w:szCs w:val="28"/>
          <w:lang w:eastAsia="ru-RU"/>
        </w:rPr>
        <w:t>51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Характеристика жилищного фонда Труновского муниципального округа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разрезе территориальных управлений, 2019 г.</w:t>
      </w:r>
      <w:r w:rsidRPr="0042058C">
        <w:rPr>
          <w:rFonts w:ascii="Times New Roman" w:eastAsia="Times New Roman" w:hAnsi="Times New Roman" w:cs="Times New Roman"/>
          <w:noProof/>
          <w:sz w:val="28"/>
          <w:szCs w:val="28"/>
          <w:vertAlign w:val="superscript"/>
          <w:lang w:eastAsia="ru-RU"/>
        </w:rPr>
        <w:footnoteReference w:id="66"/>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12"/>
        <w:gridCol w:w="1261"/>
        <w:gridCol w:w="1265"/>
        <w:gridCol w:w="1119"/>
        <w:gridCol w:w="1827"/>
        <w:gridCol w:w="1784"/>
      </w:tblGrid>
      <w:tr w:rsidR="0042058C" w:rsidRPr="0042058C" w:rsidTr="0042058C">
        <w:trPr>
          <w:trHeight w:val="20"/>
        </w:trPr>
        <w:tc>
          <w:tcPr>
            <w:tcW w:w="116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Территориальное управление</w:t>
            </w:r>
          </w:p>
        </w:tc>
        <w:tc>
          <w:tcPr>
            <w:tcW w:w="666"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vertAlign w:val="superscript"/>
              </w:rPr>
            </w:pPr>
            <w:r w:rsidRPr="0042058C">
              <w:rPr>
                <w:rFonts w:ascii="Times New Roman" w:eastAsia="Times New Roman" w:hAnsi="Times New Roman" w:cs="Times New Roman"/>
                <w:color w:val="000000"/>
                <w:sz w:val="20"/>
                <w:szCs w:val="20"/>
              </w:rPr>
              <w:t>Объем жилищного фонда, тыс. м</w:t>
            </w:r>
            <w:r w:rsidRPr="0042058C">
              <w:rPr>
                <w:rFonts w:ascii="Times New Roman" w:eastAsia="Times New Roman" w:hAnsi="Times New Roman" w:cs="Times New Roman"/>
                <w:color w:val="000000"/>
                <w:sz w:val="20"/>
                <w:szCs w:val="20"/>
                <w:vertAlign w:val="superscript"/>
              </w:rPr>
              <w:t>2</w:t>
            </w:r>
          </w:p>
        </w:tc>
        <w:tc>
          <w:tcPr>
            <w:tcW w:w="668"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Доля жилищного фонда, %</w:t>
            </w:r>
          </w:p>
        </w:tc>
        <w:tc>
          <w:tcPr>
            <w:tcW w:w="591"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Частный жилищный фонд, тыс. м</w:t>
            </w:r>
            <w:r w:rsidRPr="0042058C">
              <w:rPr>
                <w:rFonts w:ascii="Times New Roman" w:eastAsia="Times New Roman" w:hAnsi="Times New Roman" w:cs="Times New Roman"/>
                <w:color w:val="000000"/>
                <w:sz w:val="20"/>
                <w:szCs w:val="20"/>
                <w:vertAlign w:val="superscript"/>
              </w:rPr>
              <w:t>2</w:t>
            </w:r>
          </w:p>
        </w:tc>
        <w:tc>
          <w:tcPr>
            <w:tcW w:w="965"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Государственнный и муниципальный жилищный фонд, тыс. м</w:t>
            </w:r>
            <w:r w:rsidRPr="0042058C">
              <w:rPr>
                <w:rFonts w:ascii="Times New Roman" w:eastAsia="Times New Roman" w:hAnsi="Times New Roman" w:cs="Times New Roman"/>
                <w:color w:val="000000"/>
                <w:sz w:val="20"/>
                <w:szCs w:val="20"/>
                <w:vertAlign w:val="superscript"/>
              </w:rPr>
              <w:t>2</w:t>
            </w:r>
          </w:p>
        </w:tc>
        <w:tc>
          <w:tcPr>
            <w:tcW w:w="942"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Площадь жилых помещений, приходящаяся в среднем на одного жителя, м</w:t>
            </w:r>
            <w:r w:rsidRPr="0042058C">
              <w:rPr>
                <w:rFonts w:ascii="Times New Roman" w:eastAsia="Times New Roman" w:hAnsi="Times New Roman" w:cs="Times New Roman"/>
                <w:color w:val="000000"/>
                <w:sz w:val="20"/>
                <w:szCs w:val="20"/>
                <w:vertAlign w:val="superscript"/>
              </w:rPr>
              <w:t>2</w:t>
            </w:r>
            <w:r w:rsidRPr="0042058C">
              <w:rPr>
                <w:rFonts w:ascii="Times New Roman" w:eastAsia="Times New Roman" w:hAnsi="Times New Roman" w:cs="Times New Roman"/>
                <w:color w:val="000000"/>
                <w:sz w:val="20"/>
                <w:szCs w:val="20"/>
              </w:rPr>
              <w:t>/чел.</w:t>
            </w:r>
          </w:p>
        </w:tc>
      </w:tr>
      <w:tr w:rsidR="0042058C" w:rsidRPr="0042058C" w:rsidTr="0042058C">
        <w:trPr>
          <w:trHeight w:val="20"/>
        </w:trPr>
        <w:tc>
          <w:tcPr>
            <w:tcW w:w="116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Труновский муниципальный округ</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774,5</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773,6</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0,9</w:t>
            </w:r>
          </w:p>
        </w:tc>
        <w:tc>
          <w:tcPr>
            <w:tcW w:w="942"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25,1</w:t>
            </w:r>
          </w:p>
        </w:tc>
      </w:tr>
      <w:tr w:rsidR="0042058C" w:rsidRPr="0042058C" w:rsidTr="0042058C">
        <w:trPr>
          <w:trHeight w:val="20"/>
        </w:trPr>
        <w:tc>
          <w:tcPr>
            <w:tcW w:w="116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388,9</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50,2</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27,8</w:t>
            </w:r>
          </w:p>
        </w:tc>
      </w:tr>
      <w:tr w:rsidR="0042058C" w:rsidRPr="0042058C" w:rsidTr="0042058C">
        <w:trPr>
          <w:trHeight w:val="20"/>
        </w:trPr>
        <w:tc>
          <w:tcPr>
            <w:tcW w:w="116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121,0</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15,6</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121,0</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19,1</w:t>
            </w:r>
          </w:p>
        </w:tc>
      </w:tr>
      <w:tr w:rsidR="0042058C" w:rsidRPr="0042058C" w:rsidTr="0042058C">
        <w:trPr>
          <w:trHeight w:val="20"/>
        </w:trPr>
        <w:tc>
          <w:tcPr>
            <w:tcW w:w="116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 в с. Новая Кугульта</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17,8</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2,3</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17,8</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26,5</w:t>
            </w:r>
          </w:p>
        </w:tc>
      </w:tr>
      <w:tr w:rsidR="0042058C" w:rsidRPr="0042058C" w:rsidTr="0042058C">
        <w:trPr>
          <w:trHeight w:val="20"/>
        </w:trPr>
        <w:tc>
          <w:tcPr>
            <w:tcW w:w="116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44,9</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5,8</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44,9</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27,9</w:t>
            </w:r>
          </w:p>
        </w:tc>
      </w:tr>
      <w:tr w:rsidR="0042058C" w:rsidRPr="0042058C" w:rsidTr="0042058C">
        <w:trPr>
          <w:trHeight w:val="20"/>
        </w:trPr>
        <w:tc>
          <w:tcPr>
            <w:tcW w:w="1168"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145,5</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18,8</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24,7</w:t>
            </w:r>
          </w:p>
        </w:tc>
      </w:tr>
      <w:tr w:rsidR="0042058C" w:rsidRPr="0042058C" w:rsidTr="0042058C">
        <w:trPr>
          <w:trHeight w:val="20"/>
        </w:trPr>
        <w:tc>
          <w:tcPr>
            <w:tcW w:w="1168"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Территориальное управление </w:t>
            </w:r>
          </w:p>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 п. им. Кирова</w:t>
            </w:r>
          </w:p>
        </w:tc>
        <w:tc>
          <w:tcPr>
            <w:tcW w:w="66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56,4</w:t>
            </w:r>
          </w:p>
        </w:tc>
        <w:tc>
          <w:tcPr>
            <w:tcW w:w="668"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7,3</w:t>
            </w:r>
          </w:p>
        </w:tc>
        <w:tc>
          <w:tcPr>
            <w:tcW w:w="591"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56,36</w:t>
            </w:r>
          </w:p>
        </w:tc>
        <w:tc>
          <w:tcPr>
            <w:tcW w:w="965"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0,05</w:t>
            </w:r>
          </w:p>
        </w:tc>
        <w:tc>
          <w:tcPr>
            <w:tcW w:w="94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21,9</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Динамика общей площади жилых помещений Труновского муниципального округа с 2015 г. представлена на графике.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42913A42" wp14:editId="5874C447">
            <wp:extent cx="5922645" cy="2487930"/>
            <wp:effectExtent l="0" t="0" r="1905" b="762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27</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Динамика общей площади жилых помещений Труновского муниципального округа в 2015, 2017-2019 гг.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Жилищный фонд Труновского муниципального округа на конец               2019 года составил 774,5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 xml:space="preserve">м. Показатель общей площади жилых помещений, приходящейся в среднем на одного жителя Труновского муниципального округа, выше краевого (24,3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 xml:space="preserve">м) и составляет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25,1</w:t>
      </w:r>
      <w:r w:rsidR="001A7B4B">
        <w:rPr>
          <w:rFonts w:ascii="Times New Roman" w:eastAsia="Times New Roman" w:hAnsi="Times New Roman" w:cs="Times New Roman"/>
          <w:noProof/>
          <w:sz w:val="28"/>
          <w:szCs w:val="28"/>
          <w:lang w:eastAsia="ru-RU"/>
        </w:rPr>
        <w:t xml:space="preserve">кв. м. </w:t>
      </w:r>
      <w:r w:rsidRPr="0042058C">
        <w:rPr>
          <w:rFonts w:ascii="Times New Roman" w:eastAsia="Times New Roman" w:hAnsi="Times New Roman" w:cs="Times New Roman"/>
          <w:noProof/>
          <w:sz w:val="28"/>
          <w:szCs w:val="28"/>
          <w:lang w:eastAsia="ru-RU"/>
        </w:rPr>
        <w:t xml:space="preserve">В с. Донском, являющимся административным центром муниципального округа, данный показатель – 27,8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 xml:space="preserve">м. Самое высокое значение в муниципальном округе – 27,9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001A7B4B">
        <w:rPr>
          <w:rFonts w:ascii="Times New Roman" w:eastAsia="Times New Roman" w:hAnsi="Times New Roman" w:cs="Times New Roman"/>
          <w:noProof/>
          <w:sz w:val="28"/>
          <w:szCs w:val="28"/>
          <w:lang w:eastAsia="ru-RU"/>
        </w:rPr>
        <w:t xml:space="preserve"> в территориальном управлении </w:t>
      </w:r>
      <w:r w:rsidRPr="0042058C">
        <w:rPr>
          <w:rFonts w:ascii="Times New Roman" w:eastAsia="Times New Roman" w:hAnsi="Times New Roman" w:cs="Times New Roman"/>
          <w:noProof/>
          <w:sz w:val="28"/>
          <w:szCs w:val="28"/>
          <w:lang w:eastAsia="ru-RU"/>
        </w:rPr>
        <w:t xml:space="preserve">в с. Подлесном. Самый низкий показатель жилищной обеспеченности в округе – 19,1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 xml:space="preserve">м в территориальном управлении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 Безопасном.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Жилищный фонд Труновского муниципального округа, в основном, используется в индивидуальных целях. Также на территории находятся здания социального использования, занимающие только 0,11% от общей площади жилищного фонда округа. Застройка в служебных целях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общежития отсутствуют (таблица</w:t>
      </w:r>
      <w:r w:rsidR="001A7B4B">
        <w:rPr>
          <w:rFonts w:ascii="Times New Roman" w:eastAsia="Times New Roman" w:hAnsi="Times New Roman" w:cs="Times New Roman"/>
          <w:noProof/>
          <w:sz w:val="28"/>
          <w:szCs w:val="28"/>
          <w:lang w:eastAsia="ru-RU"/>
        </w:rPr>
        <w:t xml:space="preserve"> 37</w:t>
      </w:r>
      <w:r w:rsidRPr="0042058C">
        <w:rPr>
          <w:rFonts w:ascii="Times New Roman" w:eastAsia="Times New Roman" w:hAnsi="Times New Roman" w:cs="Times New Roman"/>
          <w:noProof/>
          <w:sz w:val="28"/>
          <w:szCs w:val="28"/>
          <w:lang w:eastAsia="ru-RU"/>
        </w:rPr>
        <w:t>).</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жилищного фонда Труновского муниципального округа по видам использования на конец 2019 года (тыс. м2)</w:t>
      </w:r>
      <w:r w:rsidRPr="0042058C">
        <w:rPr>
          <w:rFonts w:ascii="Times New Roman" w:eastAsia="Times New Roman" w:hAnsi="Times New Roman" w:cs="Times New Roman"/>
          <w:noProof/>
          <w:sz w:val="28"/>
          <w:szCs w:val="28"/>
          <w:vertAlign w:val="superscript"/>
          <w:lang w:eastAsia="ru-RU"/>
        </w:rPr>
        <w:footnoteReference w:id="67"/>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25"/>
        <w:gridCol w:w="3151"/>
        <w:gridCol w:w="2009"/>
        <w:gridCol w:w="1983"/>
      </w:tblGrid>
      <w:tr w:rsidR="0042058C" w:rsidRPr="0042058C" w:rsidTr="0042058C">
        <w:trPr>
          <w:trHeight w:val="20"/>
        </w:trPr>
        <w:tc>
          <w:tcPr>
            <w:tcW w:w="5000" w:type="pct"/>
            <w:gridSpan w:val="4"/>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Общая площадь жилых помещений по видам использования, тыс. м</w:t>
            </w:r>
            <w:r w:rsidRPr="0042058C">
              <w:rPr>
                <w:rFonts w:ascii="Times New Roman" w:eastAsia="Calibri" w:hAnsi="Times New Roman" w:cs="Times New Roman"/>
                <w:color w:val="000000"/>
                <w:sz w:val="20"/>
                <w:szCs w:val="20"/>
                <w:vertAlign w:val="superscript"/>
                <w:lang w:eastAsia="ru-RU"/>
              </w:rPr>
              <w:t>2</w:t>
            </w:r>
          </w:p>
        </w:tc>
      </w:tr>
      <w:tr w:rsidR="0042058C" w:rsidRPr="0042058C" w:rsidTr="0042058C">
        <w:trPr>
          <w:trHeight w:val="20"/>
        </w:trPr>
        <w:tc>
          <w:tcPr>
            <w:tcW w:w="1228"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индивидуальный</w:t>
            </w:r>
          </w:p>
        </w:tc>
        <w:tc>
          <w:tcPr>
            <w:tcW w:w="1664"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социального использования</w:t>
            </w:r>
          </w:p>
        </w:tc>
        <w:tc>
          <w:tcPr>
            <w:tcW w:w="1061"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служебный</w:t>
            </w:r>
          </w:p>
        </w:tc>
        <w:tc>
          <w:tcPr>
            <w:tcW w:w="1047"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общежития</w:t>
            </w:r>
          </w:p>
        </w:tc>
      </w:tr>
      <w:tr w:rsidR="0042058C" w:rsidRPr="0042058C" w:rsidTr="0042058C">
        <w:trPr>
          <w:trHeight w:val="20"/>
        </w:trPr>
        <w:tc>
          <w:tcPr>
            <w:tcW w:w="12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773,6</w:t>
            </w:r>
          </w:p>
        </w:tc>
        <w:tc>
          <w:tcPr>
            <w:tcW w:w="166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0,9</w:t>
            </w:r>
          </w:p>
        </w:tc>
        <w:tc>
          <w:tcPr>
            <w:tcW w:w="106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10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Из-за недостаточности данных невозможно установить точное распределение застройки по годам возведения в целом по муниципальному округу. Имеющаяся информация о динамике площадей жилых помещений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территориальных управлениях с 1920 года по настоящее время представлена в таблице.</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53</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Общая площадь жилых помещений Труновского муниципального округа             по годам возведения в разрезе территориальных управлений                                        на конец 2020 года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Pr="0042058C">
        <w:rPr>
          <w:rFonts w:ascii="Times New Roman" w:eastAsia="Times New Roman" w:hAnsi="Times New Roman" w:cs="Times New Roman"/>
          <w:noProof/>
          <w:sz w:val="28"/>
          <w:szCs w:val="28"/>
          <w:vertAlign w:val="superscript"/>
          <w:lang w:eastAsia="ru-RU"/>
        </w:rPr>
        <w:footnoteReference w:id="68"/>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47"/>
        <w:gridCol w:w="1004"/>
        <w:gridCol w:w="1004"/>
        <w:gridCol w:w="941"/>
        <w:gridCol w:w="1066"/>
        <w:gridCol w:w="1006"/>
      </w:tblGrid>
      <w:tr w:rsidR="0042058C" w:rsidRPr="0042058C" w:rsidTr="0042058C">
        <w:trPr>
          <w:trHeight w:val="20"/>
        </w:trPr>
        <w:tc>
          <w:tcPr>
            <w:tcW w:w="2349" w:type="pct"/>
            <w:vMerge w:val="restart"/>
            <w:shd w:val="clear" w:color="auto" w:fill="auto"/>
            <w:noWrap/>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bCs/>
                <w:color w:val="000000"/>
                <w:sz w:val="20"/>
                <w:szCs w:val="20"/>
                <w:lang w:eastAsia="ru-RU"/>
              </w:rPr>
              <w:t>Наименование территориального отдела</w:t>
            </w:r>
          </w:p>
        </w:tc>
        <w:tc>
          <w:tcPr>
            <w:tcW w:w="2651" w:type="pct"/>
            <w:gridSpan w:val="5"/>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Общая площадь жилых помещений по годам возведения, тыс. м</w:t>
            </w:r>
            <w:r w:rsidRPr="0042058C">
              <w:rPr>
                <w:rFonts w:ascii="Times New Roman" w:eastAsia="Calibri" w:hAnsi="Times New Roman" w:cs="Times New Roman"/>
                <w:color w:val="000000"/>
                <w:sz w:val="20"/>
                <w:szCs w:val="20"/>
                <w:vertAlign w:val="superscript"/>
                <w:lang w:eastAsia="ru-RU"/>
              </w:rPr>
              <w:t>2</w:t>
            </w:r>
          </w:p>
        </w:tc>
      </w:tr>
      <w:tr w:rsidR="0042058C" w:rsidRPr="0042058C" w:rsidTr="0042058C">
        <w:trPr>
          <w:trHeight w:val="20"/>
        </w:trPr>
        <w:tc>
          <w:tcPr>
            <w:tcW w:w="2349" w:type="pct"/>
            <w:vMerge/>
            <w:shd w:val="clear" w:color="auto" w:fill="auto"/>
            <w:noWrap/>
            <w:vAlign w:val="center"/>
            <w:hideMark/>
          </w:tcPr>
          <w:p w:rsidR="0042058C" w:rsidRPr="0042058C" w:rsidRDefault="0042058C" w:rsidP="0042058C">
            <w:pPr>
              <w:spacing w:before="60" w:after="0" w:line="240" w:lineRule="auto"/>
              <w:jc w:val="center"/>
              <w:rPr>
                <w:rFonts w:ascii="Times New Roman" w:eastAsia="Calibri" w:hAnsi="Times New Roman" w:cs="Times New Roman"/>
                <w:bCs/>
                <w:color w:val="000000"/>
                <w:sz w:val="20"/>
                <w:szCs w:val="20"/>
                <w:lang w:eastAsia="ru-RU"/>
              </w:rPr>
            </w:pPr>
          </w:p>
        </w:tc>
        <w:tc>
          <w:tcPr>
            <w:tcW w:w="530"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до 1920</w:t>
            </w:r>
          </w:p>
        </w:tc>
        <w:tc>
          <w:tcPr>
            <w:tcW w:w="530"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1921-1945</w:t>
            </w:r>
          </w:p>
        </w:tc>
        <w:tc>
          <w:tcPr>
            <w:tcW w:w="497"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1946-1970</w:t>
            </w:r>
          </w:p>
        </w:tc>
        <w:tc>
          <w:tcPr>
            <w:tcW w:w="563"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1971-1995</w:t>
            </w:r>
          </w:p>
        </w:tc>
        <w:tc>
          <w:tcPr>
            <w:tcW w:w="531"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после 1995 г.</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bCs/>
                <w:color w:val="000000"/>
                <w:sz w:val="20"/>
                <w:szCs w:val="20"/>
                <w:lang w:eastAsia="ru-RU"/>
              </w:rPr>
            </w:pPr>
            <w:r w:rsidRPr="0042058C">
              <w:rPr>
                <w:rFonts w:ascii="Times New Roman" w:eastAsia="Calibri" w:hAnsi="Times New Roman" w:cs="Times New Roman"/>
                <w:bCs/>
                <w:color w:val="000000"/>
                <w:sz w:val="20"/>
                <w:szCs w:val="20"/>
                <w:lang w:eastAsia="ru-RU"/>
              </w:rPr>
              <w:t>Труновский муниципальный округ</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Донском</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Безопасном</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6,7</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47</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39,6</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17,9</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9,81</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Новая Кугульта</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0,5</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6,5</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10,5</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0,3</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Подлесном</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0,4</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1,2</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27,0</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15,9</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0,4</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Труновском</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19,2</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44,5</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50,0</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20,4</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11,9</w:t>
            </w:r>
          </w:p>
        </w:tc>
      </w:tr>
      <w:tr w:rsidR="0042058C" w:rsidRPr="0042058C" w:rsidTr="0042058C">
        <w:trPr>
          <w:trHeight w:val="20"/>
        </w:trPr>
        <w:tc>
          <w:tcPr>
            <w:tcW w:w="2349"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п. им. Кирова</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3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9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13,9</w:t>
            </w:r>
          </w:p>
        </w:tc>
        <w:tc>
          <w:tcPr>
            <w:tcW w:w="56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29,59</w:t>
            </w:r>
          </w:p>
        </w:tc>
        <w:tc>
          <w:tcPr>
            <w:tcW w:w="53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12,87</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p>
    <w:p w:rsidR="00E413C8"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413C8">
        <w:rPr>
          <w:rFonts w:ascii="Times New Roman" w:eastAsia="Times New Roman" w:hAnsi="Times New Roman" w:cs="Times New Roman"/>
          <w:noProof/>
          <w:sz w:val="28"/>
          <w:szCs w:val="28"/>
          <w:lang w:eastAsia="ru-RU"/>
        </w:rPr>
        <w:t>54</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Характеристика жилищного фонда Труновского муниципального округа по материалу стен жилья на конец 2020 года в разрезе территориальных управлений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Pr="0042058C">
        <w:rPr>
          <w:rFonts w:ascii="Times New Roman" w:eastAsia="Times New Roman" w:hAnsi="Times New Roman" w:cs="Times New Roman"/>
          <w:noProof/>
          <w:sz w:val="28"/>
          <w:szCs w:val="28"/>
          <w:vertAlign w:val="superscript"/>
          <w:lang w:eastAsia="ru-RU"/>
        </w:rPr>
        <w:footnoteReference w:id="69"/>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45"/>
        <w:gridCol w:w="1097"/>
        <w:gridCol w:w="1097"/>
        <w:gridCol w:w="1097"/>
        <w:gridCol w:w="1097"/>
        <w:gridCol w:w="877"/>
      </w:tblGrid>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center"/>
              <w:rPr>
                <w:rFonts w:ascii="Times New Roman" w:eastAsia="Calibri" w:hAnsi="Times New Roman" w:cs="Times New Roman"/>
                <w:bCs/>
                <w:color w:val="000000"/>
                <w:sz w:val="20"/>
                <w:szCs w:val="20"/>
                <w:lang w:eastAsia="ru-RU"/>
              </w:rPr>
            </w:pPr>
            <w:r w:rsidRPr="0042058C">
              <w:rPr>
                <w:rFonts w:ascii="Times New Roman" w:eastAsia="Calibri" w:hAnsi="Times New Roman" w:cs="Times New Roman"/>
                <w:bCs/>
                <w:color w:val="000000"/>
                <w:sz w:val="20"/>
                <w:szCs w:val="20"/>
                <w:lang w:eastAsia="ru-RU"/>
              </w:rPr>
              <w:t>Территориальные отделы</w:t>
            </w:r>
          </w:p>
        </w:tc>
        <w:tc>
          <w:tcPr>
            <w:tcW w:w="583"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Каменные, кирпичные</w:t>
            </w:r>
          </w:p>
        </w:tc>
        <w:tc>
          <w:tcPr>
            <w:tcW w:w="583"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Панельные</w:t>
            </w:r>
          </w:p>
        </w:tc>
        <w:tc>
          <w:tcPr>
            <w:tcW w:w="583"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Смешанные</w:t>
            </w:r>
          </w:p>
        </w:tc>
        <w:tc>
          <w:tcPr>
            <w:tcW w:w="583"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Деревянные</w:t>
            </w:r>
          </w:p>
        </w:tc>
        <w:tc>
          <w:tcPr>
            <w:tcW w:w="466" w:type="pct"/>
            <w:shd w:val="clear" w:color="auto" w:fill="auto"/>
            <w:vAlign w:val="center"/>
            <w:hideMark/>
          </w:tcPr>
          <w:p w:rsidR="0042058C" w:rsidRPr="0042058C" w:rsidRDefault="0042058C" w:rsidP="0042058C">
            <w:pPr>
              <w:spacing w:before="60"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Прочие</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bCs/>
                <w:color w:val="000000"/>
                <w:sz w:val="20"/>
                <w:szCs w:val="20"/>
                <w:lang w:eastAsia="ru-RU"/>
              </w:rPr>
            </w:pPr>
            <w:r w:rsidRPr="0042058C">
              <w:rPr>
                <w:rFonts w:ascii="Times New Roman" w:eastAsia="Calibri" w:hAnsi="Times New Roman" w:cs="Times New Roman"/>
                <w:bCs/>
                <w:color w:val="000000"/>
                <w:sz w:val="20"/>
                <w:szCs w:val="20"/>
                <w:lang w:eastAsia="ru-RU"/>
              </w:rPr>
              <w:t>Труновский муниципальный округ</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Донском</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Безопасном</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59,81</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0,4</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60,8</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Новая Кугульта</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10,7</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0,1</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7</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Подлесном</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16,3</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2,3</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6,9</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0</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19,4</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с. Труновском</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102,4</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1,4</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42,2</w:t>
            </w:r>
          </w:p>
        </w:tc>
      </w:tr>
      <w:tr w:rsidR="0042058C" w:rsidRPr="0042058C" w:rsidTr="0042058C">
        <w:trPr>
          <w:trHeight w:val="20"/>
        </w:trPr>
        <w:tc>
          <w:tcPr>
            <w:tcW w:w="2202" w:type="pct"/>
            <w:shd w:val="clear" w:color="auto" w:fill="auto"/>
            <w:noWrap/>
            <w:vAlign w:val="center"/>
            <w:hideMark/>
          </w:tcPr>
          <w:p w:rsidR="0042058C" w:rsidRPr="0042058C" w:rsidRDefault="0042058C" w:rsidP="0042058C">
            <w:pPr>
              <w:spacing w:before="60" w:after="0" w:line="240" w:lineRule="auto"/>
              <w:jc w:val="both"/>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Территориальное управление в п. им. Кирова</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50,76</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1,7</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3,9</w:t>
            </w:r>
          </w:p>
        </w:tc>
        <w:tc>
          <w:tcPr>
            <w:tcW w:w="58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c>
          <w:tcPr>
            <w:tcW w:w="466"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bl>
    <w:p w:rsidR="0042058C" w:rsidRPr="0042058C" w:rsidRDefault="0042058C" w:rsidP="0042058C">
      <w:pPr>
        <w:autoSpaceDE w:val="0"/>
        <w:autoSpaceDN w:val="0"/>
        <w:adjustRightInd w:val="0"/>
        <w:spacing w:after="0" w:line="240" w:lineRule="auto"/>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Как видно из таблицы, жилые дома муниципального округа в основном выполнены из камня и кирпича. Однако в территориальном управлении             в с. Безопасном дома из вышеназванных материалов составляют примерно равное количество с домами из прочих материалов.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Согласно статистическим данным в сфере жилищно-коммунального хозяйства Ставропольского края 16 семей Труновского муниципального округа получили жилые помещения или улучшили свои жилищные условия в 2019 году. Однако жилищный вопрос остается актуальным. Число семей, состоящих на учете для получения жилой площади к концу 2019 года составило 122.</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Тип застройки муниципального округа, в основном, определен индивидуальными жилыми домами, однако на территории также присутствуют дома многоквартирной жилой застройки (рисунок, таблица).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0"/>
          <w:szCs w:val="20"/>
          <w:lang w:eastAsia="ru-RU"/>
        </w:rPr>
        <w:drawing>
          <wp:inline distT="0" distB="0" distL="0" distR="0" wp14:anchorId="129AAA84" wp14:editId="528C51CF">
            <wp:extent cx="5909945" cy="295402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28</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Жилищный фонд Труновского муниципального округа по типам застройки на конец 2019 года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Pr="0042058C">
        <w:rPr>
          <w:rFonts w:ascii="Times New Roman" w:eastAsia="Times New Roman" w:hAnsi="Times New Roman" w:cs="Times New Roman"/>
          <w:noProof/>
          <w:sz w:val="28"/>
          <w:szCs w:val="28"/>
          <w:vertAlign w:val="superscript"/>
          <w:lang w:eastAsia="ru-RU"/>
        </w:rPr>
        <w:footnoteReference w:id="70"/>
      </w: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55</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Характеристика жилищного фонда Труновского муниципального округа по типам застройки на конец 2019 года</w:t>
      </w:r>
      <w:r w:rsidRPr="0042058C">
        <w:rPr>
          <w:rFonts w:ascii="Times New Roman" w:eastAsia="Times New Roman" w:hAnsi="Times New Roman" w:cs="Times New Roman"/>
          <w:noProof/>
          <w:sz w:val="28"/>
          <w:szCs w:val="28"/>
          <w:vertAlign w:val="superscript"/>
          <w:lang w:eastAsia="ru-RU"/>
        </w:rPr>
        <w:footnoteReference w:id="71"/>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gridCol w:w="1809"/>
      </w:tblGrid>
      <w:tr w:rsidR="0042058C" w:rsidRPr="0042058C" w:rsidTr="0042058C">
        <w:trPr>
          <w:trHeight w:val="272"/>
        </w:trPr>
        <w:tc>
          <w:tcPr>
            <w:tcW w:w="4055" w:type="pct"/>
            <w:shd w:val="clear" w:color="auto" w:fill="auto"/>
            <w:noWrap/>
            <w:vAlign w:val="center"/>
            <w:hideMark/>
          </w:tcPr>
          <w:p w:rsidR="0042058C" w:rsidRPr="0042058C" w:rsidRDefault="0042058C" w:rsidP="0042058C">
            <w:pPr>
              <w:spacing w:before="60" w:after="0" w:line="240" w:lineRule="auto"/>
              <w:ind w:left="-113"/>
              <w:jc w:val="center"/>
              <w:rPr>
                <w:rFonts w:ascii="Times New Roman" w:eastAsia="Calibri" w:hAnsi="Times New Roman" w:cs="Times New Roman"/>
                <w:bCs/>
                <w:color w:val="000000"/>
                <w:sz w:val="20"/>
                <w:szCs w:val="20"/>
                <w:lang w:eastAsia="ru-RU"/>
              </w:rPr>
            </w:pPr>
            <w:r w:rsidRPr="0042058C">
              <w:rPr>
                <w:rFonts w:ascii="Times New Roman" w:eastAsia="Calibri" w:hAnsi="Times New Roman" w:cs="Times New Roman"/>
                <w:bCs/>
                <w:color w:val="000000"/>
                <w:sz w:val="20"/>
                <w:szCs w:val="20"/>
                <w:lang w:eastAsia="ru-RU"/>
              </w:rPr>
              <w:t>Наименование</w:t>
            </w:r>
          </w:p>
        </w:tc>
        <w:tc>
          <w:tcPr>
            <w:tcW w:w="945" w:type="pct"/>
            <w:shd w:val="clear" w:color="auto" w:fill="auto"/>
            <w:vAlign w:val="center"/>
            <w:hideMark/>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Показатель</w:t>
            </w:r>
          </w:p>
        </w:tc>
      </w:tr>
      <w:tr w:rsidR="0042058C" w:rsidRPr="0042058C" w:rsidTr="0042058C">
        <w:trPr>
          <w:trHeight w:val="381"/>
        </w:trPr>
        <w:tc>
          <w:tcPr>
            <w:tcW w:w="4055" w:type="pct"/>
            <w:shd w:val="clear" w:color="auto" w:fill="auto"/>
            <w:noWrap/>
            <w:vAlign w:val="center"/>
            <w:hideMark/>
          </w:tcPr>
          <w:p w:rsidR="0042058C" w:rsidRPr="0042058C" w:rsidRDefault="0042058C" w:rsidP="0042058C">
            <w:pPr>
              <w:spacing w:before="60" w:after="0" w:line="240" w:lineRule="auto"/>
              <w:ind w:left="-113"/>
              <w:rPr>
                <w:rFonts w:ascii="Times New Roman" w:eastAsia="Calibri" w:hAnsi="Times New Roman" w:cs="Times New Roman"/>
                <w:bCs/>
                <w:color w:val="000000"/>
                <w:sz w:val="20"/>
                <w:szCs w:val="20"/>
                <w:lang w:eastAsia="ru-RU"/>
              </w:rPr>
            </w:pPr>
            <w:r w:rsidRPr="0042058C">
              <w:rPr>
                <w:rFonts w:ascii="Times New Roman" w:eastAsia="Calibri" w:hAnsi="Times New Roman" w:cs="Times New Roman"/>
                <w:color w:val="000000"/>
                <w:sz w:val="20"/>
                <w:szCs w:val="20"/>
                <w:lang w:eastAsia="ru-RU"/>
              </w:rPr>
              <w:t>Число жилых домов (индивидуально-определенных зданий) – всего, единиц</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8708</w:t>
            </w:r>
          </w:p>
        </w:tc>
      </w:tr>
      <w:tr w:rsidR="0042058C" w:rsidRPr="0042058C" w:rsidTr="0042058C">
        <w:trPr>
          <w:trHeight w:val="345"/>
        </w:trPr>
        <w:tc>
          <w:tcPr>
            <w:tcW w:w="4055" w:type="pct"/>
            <w:shd w:val="clear" w:color="auto" w:fill="auto"/>
            <w:noWrap/>
            <w:vAlign w:val="center"/>
            <w:hideMark/>
          </w:tcPr>
          <w:p w:rsidR="0042058C" w:rsidRPr="0042058C" w:rsidRDefault="0042058C" w:rsidP="0042058C">
            <w:pPr>
              <w:spacing w:before="60" w:after="0" w:line="240" w:lineRule="auto"/>
              <w:ind w:left="-113"/>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многоквартирных жилых домов – всего, единиц</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1626</w:t>
            </w:r>
          </w:p>
        </w:tc>
      </w:tr>
      <w:tr w:rsidR="0042058C" w:rsidRPr="0042058C" w:rsidTr="0042058C">
        <w:trPr>
          <w:trHeight w:val="345"/>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Общая площадь жилых помещений в жилых домах (индивидуально-определенных зданиях) – всего,</w:t>
            </w:r>
            <w:r w:rsidRPr="0042058C">
              <w:rPr>
                <w:rFonts w:ascii="Times New Roman" w:eastAsia="Calibri" w:hAnsi="Times New Roman" w:cs="Times New Roman"/>
                <w:bCs/>
                <w:color w:val="000000"/>
                <w:sz w:val="20"/>
                <w:szCs w:val="20"/>
                <w:lang w:eastAsia="ru-RU"/>
              </w:rPr>
              <w:t xml:space="preserve"> тыс. м</w:t>
            </w:r>
            <w:r w:rsidRPr="0042058C">
              <w:rPr>
                <w:rFonts w:ascii="Times New Roman" w:eastAsia="Calibri" w:hAnsi="Times New Roman" w:cs="Times New Roman"/>
                <w:bCs/>
                <w:color w:val="000000"/>
                <w:sz w:val="20"/>
                <w:szCs w:val="20"/>
                <w:vertAlign w:val="superscript"/>
                <w:lang w:eastAsia="ru-RU"/>
              </w:rPr>
              <w:t>2</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502</w:t>
            </w:r>
          </w:p>
        </w:tc>
      </w:tr>
      <w:tr w:rsidR="0042058C" w:rsidRPr="0042058C" w:rsidTr="0042058C">
        <w:trPr>
          <w:trHeight w:val="345"/>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 xml:space="preserve">Общая площадь жилых помещений в многоквартирных жилых домах – всего, </w:t>
            </w:r>
            <w:r w:rsidRPr="0042058C">
              <w:rPr>
                <w:rFonts w:ascii="Times New Roman" w:eastAsia="Calibri" w:hAnsi="Times New Roman" w:cs="Times New Roman"/>
                <w:bCs/>
                <w:color w:val="000000"/>
                <w:sz w:val="20"/>
                <w:szCs w:val="20"/>
                <w:lang w:eastAsia="ru-RU"/>
              </w:rPr>
              <w:t>тыс. м</w:t>
            </w:r>
            <w:r w:rsidRPr="0042058C">
              <w:rPr>
                <w:rFonts w:ascii="Times New Roman" w:eastAsia="Calibri" w:hAnsi="Times New Roman" w:cs="Times New Roman"/>
                <w:bCs/>
                <w:color w:val="000000"/>
                <w:sz w:val="20"/>
                <w:szCs w:val="20"/>
                <w:vertAlign w:val="superscript"/>
                <w:lang w:eastAsia="ru-RU"/>
              </w:rPr>
              <w:t>2</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272,5</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 xml:space="preserve">Общая площадь жилых помещений в жилых домах блокированной застройки – всего, </w:t>
            </w:r>
            <w:r w:rsidRPr="0042058C">
              <w:rPr>
                <w:rFonts w:ascii="Times New Roman" w:eastAsia="Calibri" w:hAnsi="Times New Roman" w:cs="Times New Roman"/>
                <w:bCs/>
                <w:color w:val="000000"/>
                <w:sz w:val="20"/>
                <w:szCs w:val="20"/>
                <w:lang w:eastAsia="ru-RU"/>
              </w:rPr>
              <w:t>тыс. м</w:t>
            </w:r>
            <w:r w:rsidRPr="0042058C">
              <w:rPr>
                <w:rFonts w:ascii="Times New Roman" w:eastAsia="Calibri" w:hAnsi="Times New Roman" w:cs="Times New Roman"/>
                <w:bCs/>
                <w:color w:val="000000"/>
                <w:sz w:val="20"/>
                <w:szCs w:val="20"/>
                <w:vertAlign w:val="superscript"/>
                <w:lang w:eastAsia="ru-RU"/>
              </w:rPr>
              <w:t>2</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жилых квартир – всего, единиц</w:t>
            </w:r>
          </w:p>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в том числе:</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12865</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однокомнатных жилых квартир</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1294</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двухкомнатных жилых квартир</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3371</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трехкомнатных жилых квартир</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5441</w:t>
            </w:r>
          </w:p>
        </w:tc>
      </w:tr>
      <w:tr w:rsidR="0042058C" w:rsidRPr="0042058C" w:rsidTr="0042058C">
        <w:trPr>
          <w:trHeight w:val="70"/>
        </w:trPr>
        <w:tc>
          <w:tcPr>
            <w:tcW w:w="4055" w:type="pct"/>
            <w:shd w:val="clear" w:color="auto" w:fill="auto"/>
            <w:noWrap/>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число четырехкомнатных и более жилых квартир</w:t>
            </w:r>
          </w:p>
        </w:tc>
        <w:tc>
          <w:tcPr>
            <w:tcW w:w="945" w:type="pct"/>
            <w:shd w:val="clear" w:color="auto" w:fill="auto"/>
            <w:vAlign w:val="center"/>
          </w:tcPr>
          <w:p w:rsidR="0042058C" w:rsidRPr="0042058C" w:rsidRDefault="0042058C" w:rsidP="0042058C">
            <w:pPr>
              <w:spacing w:before="60" w:after="0" w:line="240" w:lineRule="auto"/>
              <w:ind w:left="-113"/>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2759</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Первичная задача в жилищной сфере – обеспечение соответствия жилых помещений установленным санитарным, техническим правилам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нормам, а также эффективного использования жилищного фонда. Для этого необходимо своевременное осуществление мероприятий по восстановлению и улучшению состояния жилых зданий.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Жилищные условия населения Труновского муниципального округа. Уровень благоустройства жилищного фонда является одним из главных параметров оценки жилищных условий населения, обеспечивающий комфортность жилья и техническую доступность коммунальных услуг для потребителей обеспечивает.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Степень благоустройства жилищного фонда Труновского муниципального округа ежегодно растет. Показатели обеспеченности жителей объектами инженерной инфраструктуры в 2019 году представлены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таблице</w:t>
      </w:r>
      <w:r w:rsidR="001A7B4B">
        <w:rPr>
          <w:rFonts w:ascii="Times New Roman" w:eastAsia="Times New Roman" w:hAnsi="Times New Roman" w:cs="Times New Roman"/>
          <w:noProof/>
          <w:sz w:val="28"/>
          <w:szCs w:val="28"/>
          <w:lang w:eastAsia="ru-RU"/>
        </w:rPr>
        <w:t xml:space="preserve"> </w:t>
      </w:r>
      <w:r w:rsidR="00E413C8">
        <w:rPr>
          <w:rFonts w:ascii="Times New Roman" w:eastAsia="Times New Roman" w:hAnsi="Times New Roman" w:cs="Times New Roman"/>
          <w:noProof/>
          <w:sz w:val="28"/>
          <w:szCs w:val="28"/>
          <w:lang w:eastAsia="ru-RU"/>
        </w:rPr>
        <w:t>56</w:t>
      </w:r>
      <w:r w:rsidRPr="0042058C">
        <w:rPr>
          <w:rFonts w:ascii="Times New Roman" w:eastAsia="Times New Roman" w:hAnsi="Times New Roman" w:cs="Times New Roman"/>
          <w:noProof/>
          <w:sz w:val="28"/>
          <w:szCs w:val="28"/>
          <w:lang w:eastAsia="ru-RU"/>
        </w:rPr>
        <w:t>.</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56</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Степень благоустройства жилищного фонда Труновского муниципального округа в 2019 г., в% к общей площади жилищного фонда округа в разрезе территориальных управлений</w:t>
      </w:r>
      <w:r w:rsidRPr="0042058C">
        <w:rPr>
          <w:rFonts w:ascii="Times New Roman" w:eastAsia="Times New Roman" w:hAnsi="Times New Roman" w:cs="Times New Roman"/>
          <w:noProof/>
          <w:sz w:val="28"/>
          <w:szCs w:val="28"/>
          <w:vertAlign w:val="superscript"/>
          <w:lang w:eastAsia="ru-RU"/>
        </w:rPr>
        <w:footnoteReference w:id="72"/>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1135"/>
        <w:gridCol w:w="1223"/>
        <w:gridCol w:w="1079"/>
        <w:gridCol w:w="1490"/>
        <w:gridCol w:w="801"/>
        <w:gridCol w:w="566"/>
        <w:gridCol w:w="1416"/>
      </w:tblGrid>
      <w:tr w:rsidR="0042058C" w:rsidRPr="0042058C" w:rsidTr="0042058C">
        <w:trPr>
          <w:trHeight w:val="630"/>
        </w:trPr>
        <w:tc>
          <w:tcPr>
            <w:tcW w:w="928"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Территориальное управление</w:t>
            </w:r>
          </w:p>
        </w:tc>
        <w:tc>
          <w:tcPr>
            <w:tcW w:w="4072" w:type="pct"/>
            <w:gridSpan w:val="7"/>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Степень благоустройства, %</w:t>
            </w:r>
          </w:p>
        </w:tc>
      </w:tr>
      <w:tr w:rsidR="0042058C" w:rsidRPr="0042058C" w:rsidTr="0042058C">
        <w:trPr>
          <w:trHeight w:val="630"/>
        </w:trPr>
        <w:tc>
          <w:tcPr>
            <w:tcW w:w="928"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p>
        </w:tc>
        <w:tc>
          <w:tcPr>
            <w:tcW w:w="59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водопровод</w:t>
            </w:r>
          </w:p>
        </w:tc>
        <w:tc>
          <w:tcPr>
            <w:tcW w:w="646"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канализация</w:t>
            </w:r>
          </w:p>
        </w:tc>
        <w:tc>
          <w:tcPr>
            <w:tcW w:w="570"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отопление</w:t>
            </w:r>
          </w:p>
        </w:tc>
        <w:tc>
          <w:tcPr>
            <w:tcW w:w="787"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горячая вода</w:t>
            </w:r>
          </w:p>
        </w:tc>
        <w:tc>
          <w:tcPr>
            <w:tcW w:w="423"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ванна (душ)</w:t>
            </w:r>
          </w:p>
        </w:tc>
        <w:tc>
          <w:tcPr>
            <w:tcW w:w="299"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газ</w:t>
            </w:r>
          </w:p>
        </w:tc>
        <w:tc>
          <w:tcPr>
            <w:tcW w:w="748"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электроплиты</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99,0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99,0</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99,6</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91,8</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91,8</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96,7</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5,2</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646"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44,0</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44,9</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34,6</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34,6</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44,9</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97,0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97,0</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100,0</w:t>
            </w:r>
          </w:p>
        </w:tc>
        <w:tc>
          <w:tcPr>
            <w:tcW w:w="787"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82,0</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85,0</w:t>
            </w:r>
          </w:p>
        </w:tc>
        <w:tc>
          <w:tcPr>
            <w:tcW w:w="299"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98,0</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r w:rsidR="0042058C" w:rsidRPr="0042058C" w:rsidTr="0042058C">
        <w:trPr>
          <w:trHeight w:val="217"/>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599"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98,0</w:t>
            </w:r>
          </w:p>
        </w:tc>
        <w:tc>
          <w:tcPr>
            <w:tcW w:w="646"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98,0</w:t>
            </w:r>
          </w:p>
        </w:tc>
        <w:tc>
          <w:tcPr>
            <w:tcW w:w="57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98,0</w:t>
            </w:r>
          </w:p>
        </w:tc>
        <w:tc>
          <w:tcPr>
            <w:tcW w:w="787"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98,0</w:t>
            </w:r>
          </w:p>
        </w:tc>
        <w:tc>
          <w:tcPr>
            <w:tcW w:w="42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98,0</w:t>
            </w:r>
          </w:p>
        </w:tc>
        <w:tc>
          <w:tcPr>
            <w:tcW w:w="29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98,0</w:t>
            </w:r>
          </w:p>
        </w:tc>
        <w:tc>
          <w:tcPr>
            <w:tcW w:w="748"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w:t>
            </w:r>
          </w:p>
        </w:tc>
      </w:tr>
    </w:tbl>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Пригодность жилья для проживания оценивается, в первую очередь, степенью его износа. Так, по проценту износа жилищный фонд Труновского муниципального округа распределяется следующим образом: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0,05% жилого фонда – с процентом износа от свыше 70%;</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2,8% жилого фонда – с процентом износа от 66% 70%;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40,2% жилого фонда – с процентом износа от 31 до 65%;</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56,95% жилого фонда – до 30% износа.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Основная часть жилищного фонда Труновского муниципального округа имеет незначительный износ зданий. Жилые дома с процентов износа свыше 70% нуждаются в капитальном ремонте или реконструкции.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E413C8" w:rsidRPr="0042058C" w:rsidRDefault="00E413C8"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57</w:t>
      </w:r>
    </w:p>
    <w:p w:rsid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Распределение общей площади жилых помещений Труновского муниципального округа по проценту износа в 2019 г. в разрезе территориальных управлений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Pr="0042058C">
        <w:rPr>
          <w:rFonts w:ascii="Times New Roman" w:eastAsia="Times New Roman" w:hAnsi="Times New Roman" w:cs="Times New Roman"/>
          <w:noProof/>
          <w:sz w:val="28"/>
          <w:szCs w:val="28"/>
          <w:vertAlign w:val="superscript"/>
          <w:lang w:eastAsia="ru-RU"/>
        </w:rPr>
        <w:footnoteReference w:id="73"/>
      </w:r>
    </w:p>
    <w:p w:rsidR="000528C2" w:rsidRDefault="000528C2"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tbl>
      <w:tblPr>
        <w:tblStyle w:val="af6"/>
        <w:tblW w:w="5000" w:type="pct"/>
        <w:tblCellMar>
          <w:left w:w="57" w:type="dxa"/>
          <w:right w:w="57" w:type="dxa"/>
        </w:tblCellMar>
        <w:tblLook w:val="04A0" w:firstRow="1" w:lastRow="0" w:firstColumn="1" w:lastColumn="0" w:noHBand="0" w:noVBand="1"/>
      </w:tblPr>
      <w:tblGrid>
        <w:gridCol w:w="4311"/>
        <w:gridCol w:w="1416"/>
        <w:gridCol w:w="1276"/>
        <w:gridCol w:w="1274"/>
        <w:gridCol w:w="1191"/>
      </w:tblGrid>
      <w:tr w:rsidR="000528C2" w:rsidRPr="000528C2" w:rsidTr="00E86957">
        <w:trPr>
          <w:trHeight w:val="315"/>
        </w:trPr>
        <w:tc>
          <w:tcPr>
            <w:tcW w:w="2276" w:type="pct"/>
            <w:vMerge w:val="restart"/>
            <w:noWrap/>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bCs/>
                <w:color w:val="000000"/>
              </w:rPr>
              <w:t>Территориальное управление</w:t>
            </w:r>
          </w:p>
        </w:tc>
        <w:tc>
          <w:tcPr>
            <w:tcW w:w="2724" w:type="pct"/>
            <w:gridSpan w:val="4"/>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color w:val="000000"/>
              </w:rPr>
              <w:t>Процент износа</w:t>
            </w:r>
          </w:p>
        </w:tc>
      </w:tr>
      <w:tr w:rsidR="000528C2" w:rsidRPr="000528C2" w:rsidTr="00E86957">
        <w:trPr>
          <w:trHeight w:val="339"/>
        </w:trPr>
        <w:tc>
          <w:tcPr>
            <w:tcW w:w="2276" w:type="pct"/>
            <w:vMerge/>
            <w:noWrap/>
            <w:vAlign w:val="center"/>
            <w:hideMark/>
          </w:tcPr>
          <w:p w:rsidR="000528C2" w:rsidRPr="000528C2" w:rsidRDefault="000528C2" w:rsidP="000528C2">
            <w:pPr>
              <w:jc w:val="center"/>
              <w:rPr>
                <w:rFonts w:ascii="Arial Narrow" w:hAnsi="Arial Narrow" w:cs="Arial"/>
                <w:b/>
                <w:bCs/>
                <w:color w:val="000000"/>
              </w:rPr>
            </w:pPr>
          </w:p>
        </w:tc>
        <w:tc>
          <w:tcPr>
            <w:tcW w:w="748" w:type="pct"/>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color w:val="000000"/>
              </w:rPr>
              <w:t>0-30</w:t>
            </w:r>
          </w:p>
        </w:tc>
        <w:tc>
          <w:tcPr>
            <w:tcW w:w="674" w:type="pct"/>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color w:val="000000"/>
              </w:rPr>
              <w:t>31-65</w:t>
            </w:r>
          </w:p>
        </w:tc>
        <w:tc>
          <w:tcPr>
            <w:tcW w:w="673" w:type="pct"/>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color w:val="000000"/>
              </w:rPr>
              <w:t>66-70</w:t>
            </w:r>
          </w:p>
        </w:tc>
        <w:tc>
          <w:tcPr>
            <w:tcW w:w="629" w:type="pct"/>
            <w:vAlign w:val="center"/>
            <w:hideMark/>
          </w:tcPr>
          <w:p w:rsidR="000528C2" w:rsidRPr="000528C2" w:rsidRDefault="000528C2" w:rsidP="000528C2">
            <w:pPr>
              <w:jc w:val="center"/>
              <w:rPr>
                <w:rFonts w:ascii="Arial Narrow" w:hAnsi="Arial Narrow" w:cs="Arial"/>
                <w:b/>
                <w:color w:val="000000"/>
              </w:rPr>
            </w:pPr>
            <w:r w:rsidRPr="000528C2">
              <w:rPr>
                <w:rFonts w:ascii="Arial Narrow" w:hAnsi="Arial Narrow" w:cs="Arial"/>
                <w:b/>
                <w:color w:val="000000"/>
              </w:rPr>
              <w:t>свыше 70</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cs="Arial"/>
                <w:b/>
                <w:bCs/>
                <w:color w:val="000000"/>
              </w:rPr>
            </w:pPr>
            <w:r w:rsidRPr="000528C2">
              <w:rPr>
                <w:rFonts w:ascii="Arial Narrow" w:hAnsi="Arial Narrow" w:cs="Arial"/>
                <w:b/>
                <w:bCs/>
                <w:color w:val="000000"/>
              </w:rPr>
              <w:t>Всего</w:t>
            </w:r>
          </w:p>
        </w:tc>
        <w:tc>
          <w:tcPr>
            <w:tcW w:w="748"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441,1</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311,6</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21,4</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0,4</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с. Донском</w:t>
            </w:r>
          </w:p>
        </w:tc>
        <w:tc>
          <w:tcPr>
            <w:tcW w:w="748"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с. Безопасном</w:t>
            </w:r>
          </w:p>
        </w:tc>
        <w:tc>
          <w:tcPr>
            <w:tcW w:w="748" w:type="pct"/>
            <w:vAlign w:val="center"/>
          </w:tcPr>
          <w:p w:rsidR="000528C2" w:rsidRPr="000528C2" w:rsidRDefault="000528C2" w:rsidP="000528C2">
            <w:pPr>
              <w:jc w:val="right"/>
              <w:rPr>
                <w:rFonts w:ascii="Arial Narrow" w:eastAsia="Times New Roman" w:hAnsi="Arial Narrow" w:cs="Arial"/>
                <w:color w:val="000000"/>
                <w:lang w:eastAsia="ru-RU"/>
              </w:rPr>
            </w:pPr>
            <w:r w:rsidRPr="000528C2">
              <w:rPr>
                <w:rFonts w:ascii="Arial Narrow" w:eastAsia="Times New Roman" w:hAnsi="Arial Narrow" w:cs="Arial"/>
                <w:color w:val="000000"/>
                <w:lang w:eastAsia="ru-RU"/>
              </w:rPr>
              <w:t>62,51</w:t>
            </w:r>
          </w:p>
        </w:tc>
        <w:tc>
          <w:tcPr>
            <w:tcW w:w="674" w:type="pct"/>
            <w:vAlign w:val="center"/>
          </w:tcPr>
          <w:p w:rsidR="000528C2" w:rsidRPr="000528C2" w:rsidRDefault="000528C2" w:rsidP="000528C2">
            <w:pPr>
              <w:jc w:val="right"/>
              <w:rPr>
                <w:rFonts w:ascii="Arial Narrow" w:eastAsia="Times New Roman" w:hAnsi="Arial Narrow" w:cs="Arial"/>
                <w:color w:val="000000"/>
                <w:lang w:eastAsia="ru-RU"/>
              </w:rPr>
            </w:pPr>
            <w:r w:rsidRPr="000528C2">
              <w:rPr>
                <w:rFonts w:ascii="Arial Narrow" w:eastAsia="Times New Roman" w:hAnsi="Arial Narrow" w:cs="Arial"/>
                <w:color w:val="000000"/>
                <w:lang w:eastAsia="ru-RU"/>
              </w:rPr>
              <w:t>56,2</w:t>
            </w:r>
          </w:p>
        </w:tc>
        <w:tc>
          <w:tcPr>
            <w:tcW w:w="673" w:type="pct"/>
            <w:vAlign w:val="center"/>
          </w:tcPr>
          <w:p w:rsidR="000528C2" w:rsidRPr="000528C2" w:rsidRDefault="000528C2" w:rsidP="000528C2">
            <w:pPr>
              <w:jc w:val="right"/>
              <w:rPr>
                <w:rFonts w:ascii="Arial Narrow" w:eastAsia="Times New Roman" w:hAnsi="Arial Narrow" w:cs="Arial"/>
                <w:color w:val="000000"/>
                <w:lang w:eastAsia="ru-RU"/>
              </w:rPr>
            </w:pPr>
            <w:r w:rsidRPr="000528C2">
              <w:rPr>
                <w:rFonts w:ascii="Arial Narrow" w:eastAsia="Times New Roman" w:hAnsi="Arial Narrow" w:cs="Arial"/>
                <w:color w:val="000000"/>
                <w:lang w:eastAsia="ru-RU"/>
              </w:rPr>
              <w:t>1,9</w:t>
            </w:r>
          </w:p>
        </w:tc>
        <w:tc>
          <w:tcPr>
            <w:tcW w:w="629" w:type="pct"/>
            <w:vAlign w:val="center"/>
          </w:tcPr>
          <w:p w:rsidR="000528C2" w:rsidRPr="000528C2" w:rsidRDefault="000528C2" w:rsidP="000528C2">
            <w:pPr>
              <w:jc w:val="right"/>
              <w:rPr>
                <w:rFonts w:ascii="Arial Narrow" w:eastAsia="Times New Roman" w:hAnsi="Arial Narrow" w:cs="Arial"/>
                <w:color w:val="000000"/>
                <w:lang w:eastAsia="ru-RU"/>
              </w:rPr>
            </w:pPr>
            <w:r w:rsidRPr="000528C2">
              <w:rPr>
                <w:rFonts w:ascii="Arial Narrow" w:eastAsia="Times New Roman" w:hAnsi="Arial Narrow" w:cs="Arial"/>
                <w:color w:val="000000"/>
                <w:lang w:eastAsia="ru-RU"/>
              </w:rPr>
              <w:t>0,4</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с. Новая Кугульта</w:t>
            </w:r>
          </w:p>
        </w:tc>
        <w:tc>
          <w:tcPr>
            <w:tcW w:w="748" w:type="pct"/>
            <w:vAlign w:val="center"/>
          </w:tcPr>
          <w:p w:rsidR="000528C2" w:rsidRPr="000528C2" w:rsidRDefault="000528C2" w:rsidP="000528C2">
            <w:pPr>
              <w:jc w:val="right"/>
              <w:rPr>
                <w:rFonts w:ascii="Arial Narrow" w:eastAsia="Times New Roman" w:hAnsi="Arial Narrow" w:cs="Arial"/>
                <w:color w:val="000000"/>
                <w:lang w:eastAsia="ru-RU"/>
              </w:rPr>
            </w:pPr>
            <w:r w:rsidRPr="000528C2">
              <w:rPr>
                <w:rFonts w:ascii="Arial Narrow" w:eastAsia="Times New Roman" w:hAnsi="Arial Narrow" w:cs="Arial"/>
                <w:color w:val="000000"/>
                <w:lang w:eastAsia="ru-RU"/>
              </w:rPr>
              <w:t>17,8</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с. Подлесном</w:t>
            </w:r>
          </w:p>
        </w:tc>
        <w:tc>
          <w:tcPr>
            <w:tcW w:w="748"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38,1</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6,8</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с. Труновском</w:t>
            </w:r>
          </w:p>
        </w:tc>
        <w:tc>
          <w:tcPr>
            <w:tcW w:w="748"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32,0</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94,5</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19,5</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r>
      <w:tr w:rsidR="000528C2" w:rsidRPr="000528C2" w:rsidTr="00E86957">
        <w:trPr>
          <w:trHeight w:val="258"/>
        </w:trPr>
        <w:tc>
          <w:tcPr>
            <w:tcW w:w="2276" w:type="pct"/>
            <w:noWrap/>
            <w:vAlign w:val="center"/>
          </w:tcPr>
          <w:p w:rsidR="000528C2" w:rsidRPr="000528C2" w:rsidRDefault="000528C2" w:rsidP="000528C2">
            <w:pPr>
              <w:rPr>
                <w:rFonts w:ascii="Arial Narrow" w:hAnsi="Arial Narrow"/>
              </w:rPr>
            </w:pPr>
            <w:r w:rsidRPr="000528C2">
              <w:rPr>
                <w:rFonts w:ascii="Arial Narrow" w:hAnsi="Arial Narrow"/>
              </w:rPr>
              <w:t>в п. им. Кирова</w:t>
            </w:r>
          </w:p>
        </w:tc>
        <w:tc>
          <w:tcPr>
            <w:tcW w:w="748"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14,16</w:t>
            </w:r>
          </w:p>
        </w:tc>
        <w:tc>
          <w:tcPr>
            <w:tcW w:w="674"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73"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c>
          <w:tcPr>
            <w:tcW w:w="629" w:type="pct"/>
            <w:vAlign w:val="center"/>
          </w:tcPr>
          <w:p w:rsidR="000528C2" w:rsidRPr="000528C2" w:rsidRDefault="000528C2" w:rsidP="000528C2">
            <w:pPr>
              <w:jc w:val="right"/>
              <w:rPr>
                <w:rFonts w:ascii="Arial Narrow" w:hAnsi="Arial Narrow" w:cs="Arial"/>
                <w:color w:val="000000"/>
              </w:rPr>
            </w:pPr>
            <w:r w:rsidRPr="000528C2">
              <w:rPr>
                <w:rFonts w:ascii="Arial Narrow" w:hAnsi="Arial Narrow" w:cs="Arial"/>
                <w:color w:val="000000"/>
              </w:rPr>
              <w:t>-</w:t>
            </w:r>
          </w:p>
        </w:tc>
      </w:tr>
    </w:tbl>
    <w:p w:rsidR="000528C2" w:rsidRDefault="000528C2"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0528C2" w:rsidRPr="000528C2" w:rsidRDefault="000528C2" w:rsidP="000528C2">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ab/>
      </w:r>
      <w:r w:rsidRPr="000528C2">
        <w:rPr>
          <w:rFonts w:ascii="Times New Roman" w:eastAsia="Times New Roman" w:hAnsi="Times New Roman" w:cs="Times New Roman"/>
          <w:noProof/>
          <w:sz w:val="28"/>
          <w:szCs w:val="28"/>
          <w:lang w:eastAsia="ru-RU"/>
        </w:rPr>
        <w:t xml:space="preserve">Жилищный фонд муниципального округа, в основном, представлен индивидуальными жилыми домами. В 2019 году было введено в действие </w:t>
      </w:r>
      <w:r>
        <w:rPr>
          <w:rFonts w:ascii="Times New Roman" w:eastAsia="Times New Roman" w:hAnsi="Times New Roman" w:cs="Times New Roman"/>
          <w:noProof/>
          <w:sz w:val="28"/>
          <w:szCs w:val="28"/>
          <w:lang w:eastAsia="ru-RU"/>
        </w:rPr>
        <w:t xml:space="preserve">             </w:t>
      </w:r>
      <w:r w:rsidRPr="000528C2">
        <w:rPr>
          <w:rFonts w:ascii="Times New Roman" w:eastAsia="Times New Roman" w:hAnsi="Times New Roman" w:cs="Times New Roman"/>
          <w:noProof/>
          <w:sz w:val="28"/>
          <w:szCs w:val="28"/>
          <w:lang w:eastAsia="ru-RU"/>
        </w:rPr>
        <w:t>1,4 тыс. м2 жилья индивидуального строительства.</w:t>
      </w:r>
    </w:p>
    <w:p w:rsidR="000528C2" w:rsidRPr="0042058C" w:rsidRDefault="000528C2" w:rsidP="000528C2">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ab/>
      </w:r>
      <w:r w:rsidRPr="000528C2">
        <w:rPr>
          <w:rFonts w:ascii="Times New Roman" w:eastAsia="Times New Roman" w:hAnsi="Times New Roman" w:cs="Times New Roman"/>
          <w:noProof/>
          <w:sz w:val="28"/>
          <w:szCs w:val="28"/>
          <w:lang w:eastAsia="ru-RU"/>
        </w:rPr>
        <w:t>В 2015-2018 гг. было введено 14,4 тыс. м2 общей площади жилых домов. Показатель ввода жилья в 2019 году в три раза ниже, чем в 2015 году. В среднем на одного жителя ежегодно вводится 0,097 м2 жилья при среднекраевом значении 0,315 м2. Показатель крайне низок, что также неблагоприятно влияет на сферу в целом.</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6C2B5374" wp14:editId="552D8080">
            <wp:extent cx="5793105" cy="2296795"/>
            <wp:effectExtent l="0" t="0" r="0" b="825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52A3" w:rsidRDefault="00C952A3"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29</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Ввод в действие жилых домов в Труновском муниципальном округе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2015-2019 гг., тыс. </w:t>
      </w:r>
      <w:r w:rsidR="001A7B4B">
        <w:rPr>
          <w:rFonts w:ascii="Times New Roman" w:eastAsia="Times New Roman" w:hAnsi="Times New Roman" w:cs="Times New Roman"/>
          <w:noProof/>
          <w:sz w:val="28"/>
          <w:szCs w:val="28"/>
          <w:lang w:eastAsia="ru-RU"/>
        </w:rPr>
        <w:t xml:space="preserve">кв. </w:t>
      </w:r>
      <w:r w:rsidRPr="0042058C">
        <w:rPr>
          <w:rFonts w:ascii="Times New Roman" w:eastAsia="Times New Roman" w:hAnsi="Times New Roman" w:cs="Times New Roman"/>
          <w:noProof/>
          <w:sz w:val="28"/>
          <w:szCs w:val="28"/>
          <w:lang w:eastAsia="ru-RU"/>
        </w:rPr>
        <w:t>м</w:t>
      </w:r>
      <w:r w:rsidRPr="0042058C">
        <w:rPr>
          <w:rFonts w:ascii="Times New Roman" w:eastAsia="Times New Roman" w:hAnsi="Times New Roman" w:cs="Times New Roman"/>
          <w:noProof/>
          <w:sz w:val="28"/>
          <w:szCs w:val="28"/>
          <w:vertAlign w:val="superscript"/>
          <w:lang w:eastAsia="ru-RU"/>
        </w:rPr>
        <w:footnoteReference w:id="74"/>
      </w:r>
      <w:r w:rsidRPr="0042058C">
        <w:rPr>
          <w:rFonts w:ascii="Times New Roman" w:eastAsia="Times New Roman" w:hAnsi="Times New Roman" w:cs="Times New Roman"/>
          <w:noProof/>
          <w:sz w:val="28"/>
          <w:szCs w:val="28"/>
          <w:lang w:eastAsia="ru-RU"/>
        </w:rPr>
        <w:t xml:space="preserve">  </w:t>
      </w:r>
    </w:p>
    <w:p w:rsidR="00C952A3" w:rsidRDefault="00C952A3"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Выводы: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жилищный фонд округа определен преимущественно индивидуальными жилыми домами;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объем ввода жилья снизился в несколько раз за последние пять лет;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населенные пункты муниципального округа не в полной мере оснащены необходимыми для жизнедеятельности коммуникациями;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основная часть жилого фонда была возведена в период 1946-1970 гг.;</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среднем на одного жителя муниципального округа приходится 25,1 м2 жилой площади, что выше краевого показателя и приближается </w:t>
      </w:r>
      <w:r w:rsidR="001A7B4B">
        <w:rPr>
          <w:rFonts w:ascii="Times New Roman" w:eastAsia="Times New Roman" w:hAnsi="Times New Roman" w:cs="Times New Roman"/>
          <w:noProof/>
          <w:sz w:val="28"/>
          <w:szCs w:val="28"/>
          <w:lang w:eastAsia="ru-RU"/>
        </w:rPr>
        <w:t xml:space="preserve">             </w:t>
      </w:r>
      <w:r w:rsidR="00E413C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к перспективной отметке 30 м2.</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Так, жилищная сфера Труновского муниципального округа имеет как благоприятные стороны, так и неблагоприятные. На данном этапе необходимо планирование строительства нового жилья с учетом увеличения жилой площади, приходящейся в среднем на одного жителя муниципального округа. Также одним из основных мероприятий в округе должно стать доведение обеспеченности жилых домов инженерными коммуникациями до отметки 100%.</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11. Осуществление градостроительной деятельности с соблюдением требований сохранения объектов культурного наследия является базовым принципом законодательства в сфере градостроительства. При разработке проектных предложений по пространственно-планировочной организации территории необходимо уделить особое внимание вопросам охраны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использования памятников Труновского муниципального округа.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цивилизаций, подлинными источниками информации о зарождении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развитии культуры.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Объекты культурного наследия в соответствии с Федеральным законом от 25.06.2002 № 73-ФЗ подразделяются на следующие виды: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памятники – 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техники, включая военные; объекты археологического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достопримечательные места – творения, созданные человеком, или совместные творения человека и природы.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Государственная историко-культурная экспертиза объектов культурного наследия проводится в соответствии со статьей 28 Федерального закона от 25.06.2002 № 73-ФЗ.</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Объектами историко-культурной экспертизы являются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(ст. 30 Федерального закона от 25.06.2002 № 73-ФЗ):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выявленные объекты культурного наследия в целях обоснования целесообразности включения данных объектов в реестр;</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земли, подлежащие воздействию земляных, строительных, мелиоративных, хозяйственных работ;</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документы, обосновывающие включение объектов культурного наследия в реестр;</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документы, обосновывающие исключение объектов культурного наследия из реестра;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документы, обосновывающие изменение категории историко-культурного значения объекта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документы, обосновывающие отнесение объекта культурного наследия к историко-культурным заповедникам, либо объектам всемирного культурного и природного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проекты зон охраны объекта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проектная документация на проведение работ по сохранению объектов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документация, за исключением научных отчетов о выполненных археологических полевых работах, содержащая результаты исследований;</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документация или разделы документации, обосновывающие меры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обеспечению сохранности объекта культурного наследия, включенного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реестр, выявленного объекта культурного наследия либо объекта, обладающего признаками объекта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документация, обосновывающая границы защитной зоны объекта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Финансирование историко-культурной экспертизы, порядок назначения и проведения историко-культурной экспертизы, а также заключение историко-культурной экспертизы оформляется в соответствии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со ст. 31, 32 Федерального закона от 25.06.2002 № 73-ФЗ.</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Отношения в области сохранения, использования, популяризации </w:t>
      </w:r>
      <w:r w:rsidR="001A7B4B">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охраны объектов культурного наследия на территории Труновского муниципального округа регулируются: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Федеральным законом от 25.06.2002 г. № 73-ФЗ «Об объектах культурного наследия (памятников истории и культуры) народов Российской Федерации».</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Приказом Министерства культуры Росс</w:t>
      </w:r>
      <w:r w:rsidR="00E413C8">
        <w:rPr>
          <w:rFonts w:ascii="Times New Roman" w:eastAsia="Times New Roman" w:hAnsi="Times New Roman" w:cs="Times New Roman"/>
          <w:noProof/>
          <w:sz w:val="28"/>
          <w:szCs w:val="28"/>
          <w:lang w:eastAsia="ru-RU"/>
        </w:rPr>
        <w:t>ийской Федерации</w:t>
      </w:r>
      <w:r w:rsidRPr="0042058C">
        <w:rPr>
          <w:rFonts w:ascii="Times New Roman" w:eastAsia="Times New Roman" w:hAnsi="Times New Roman" w:cs="Times New Roman"/>
          <w:noProof/>
          <w:sz w:val="28"/>
          <w:szCs w:val="28"/>
          <w:lang w:eastAsia="ru-RU"/>
        </w:rPr>
        <w:t xml:space="preserve"> № 1745 </w:t>
      </w:r>
      <w:r w:rsidR="00E413C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04.06.2015 г. «Об утверждении требований к составлению проектов границ территорий объектов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Законом Ставропольского края от 16.03.2006 г. №14-кз «Об объектах культурного наследия (памятников истории и культуры) народов Российской Федерации в Ставропольском крае».</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Приказом Министерства культуры Ставропольского края </w:t>
      </w:r>
      <w:r w:rsidR="00E413C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 42 от 18.04.2003 г. – в части установления временных охранных зон, зон регулирования застройки и хозяйственной деятельности.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Приказом Министерства</w:t>
      </w:r>
      <w:r w:rsidR="00E413C8">
        <w:rPr>
          <w:rFonts w:ascii="Times New Roman" w:eastAsia="Times New Roman" w:hAnsi="Times New Roman" w:cs="Times New Roman"/>
          <w:noProof/>
          <w:sz w:val="28"/>
          <w:szCs w:val="28"/>
          <w:lang w:eastAsia="ru-RU"/>
        </w:rPr>
        <w:t xml:space="preserve"> культуры Ставропольского края </w:t>
      </w:r>
      <w:r w:rsidRPr="0042058C">
        <w:rPr>
          <w:rFonts w:ascii="Times New Roman" w:eastAsia="Times New Roman" w:hAnsi="Times New Roman" w:cs="Times New Roman"/>
          <w:noProof/>
          <w:sz w:val="28"/>
          <w:szCs w:val="28"/>
          <w:lang w:eastAsia="ru-RU"/>
        </w:rPr>
        <w:t xml:space="preserve">№ 129 </w:t>
      </w:r>
      <w:r w:rsidR="00E413C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12.09.2000 «Об установлении временных зон охраны памятников археологии и границ их распространения».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Временные охранные зоны памятников истории и культуры установлены Приказом Министерства культуры Ставропольского края               № 42 от 18.04.2003 г.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государственных историко-культурных заповедных территорий, ландшафтных памятников, памятников садово-паркового искусства, мемориальных парков – некрополей, мемориальных комплексов в память погибшим в годы Великой Отечественной и гражданской войн – как стоящих на государственной охране, так и выявленных объектов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качестве временных охранных зон – территории памятников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исторически сложившихся границах;</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качестве временных охранных зон – территории вокруг памятников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радиусе 20 м;</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Меры по обеспечению сохранности объекта культурного наследия, включенного в реестр, выявленного или обладающего признаками объекта культурного наследия осуществляются в соответствии со статьей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36 Федерального закона от 25.06.2002 № 73-ФЗ. Работы по выявлению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изучению объектов археологического наследия, включая работы, имеющие целью поиск и изъятие археологических предметов проводятся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соответствии со статьей 45.1 Федерального закона от 25.06.2002 № 73-ФЗ.</w:t>
      </w:r>
    </w:p>
    <w:p w:rsid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Объекты культурного наследия на рассматриваемой территории представлены памятниками археологии, истории, искусства, архитектуры. Основными источниками информации об объектах культурного наследия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0528C2" w:rsidRPr="0042058C" w:rsidRDefault="000528C2"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4DA795FA" wp14:editId="31316BBE">
            <wp:extent cx="5401339" cy="6602819"/>
            <wp:effectExtent l="0" t="0" r="889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6602784"/>
                    </a:xfrm>
                    <a:prstGeom prst="rect">
                      <a:avLst/>
                    </a:prstGeom>
                    <a:noFill/>
                  </pic:spPr>
                </pic:pic>
              </a:graphicData>
            </a:graphic>
          </wp:inline>
        </w:drawing>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30</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Территориальное распределение объектов культурного наследия Труновского муниципального округа</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Перечень объектов культурного наследия, расположенных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территории Труновского муниципального округа представлен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приложении 3 и приложении 4.</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Объекты культурного наследия, расположенные на территории Труновского муниципального округа, отображены в картографических материалах данного проекта.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развития.В соответствии с Федеральным законом № 73-ФЗ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Границы зон охраны объектов культурного наследия федерального значения, режимы использования земель и градостроительные регламенты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Границы зон охраны объекта культурного наследия краевого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местного значения, в том числе границы объединенной зоны охраны объектов культурного наследия, особые режимы использования земель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уполномоченным органом, и положительного заключения государственной историко-культурной экспертизы.</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ГрК РФ и законодательством Ставропольского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12. Транспортная инфраструктура.</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w:t>
      </w:r>
      <w:r w:rsidR="00E413C8">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Внешний транспорт. </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Автомобильный транспорт. Дорожная сеть муниципального округа представлена автомобильными дорогами общего пользования регионального, местного значения и внутрихозяйственными автодорогами. Округ является неотъемлемой частью Ставропольской агломерации, и связывает основные центры с северной и северо-западной частью края. В пределах муниципального округа расположено достаточно небольшое количество региональных автодорог, вместе с тем, их наличие обуславливает развитие населенных пунктов, расположенных в пределах их влияния. Согласно материалам Постановления Правительства Ставропольского края                     от 23 декабря 2009 года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на территории округа расположено 3 автодороги регионального значения:</w:t>
      </w:r>
    </w:p>
    <w:p w:rsidR="0042058C" w:rsidRPr="00301758" w:rsidRDefault="0042058C" w:rsidP="00E413C8">
      <w:pPr>
        <w:pStyle w:val="aff"/>
        <w:autoSpaceDE w:val="0"/>
        <w:autoSpaceDN w:val="0"/>
        <w:adjustRightInd w:val="0"/>
        <w:spacing w:after="0" w:line="240" w:lineRule="auto"/>
        <w:ind w:left="709"/>
        <w:jc w:val="both"/>
        <w:rPr>
          <w:rFonts w:ascii="Times New Roman" w:eastAsia="Times New Roman" w:hAnsi="Times New Roman" w:cs="Times New Roman"/>
          <w:noProof/>
          <w:sz w:val="28"/>
          <w:szCs w:val="28"/>
          <w:lang w:eastAsia="ru-RU"/>
        </w:rPr>
      </w:pPr>
      <w:r w:rsidRPr="00301758">
        <w:rPr>
          <w:rFonts w:ascii="Times New Roman" w:eastAsia="Times New Roman" w:hAnsi="Times New Roman" w:cs="Times New Roman"/>
          <w:noProof/>
          <w:sz w:val="28"/>
          <w:szCs w:val="28"/>
          <w:lang w:eastAsia="ru-RU"/>
        </w:rPr>
        <w:t>Безопасное – Подлесное;</w:t>
      </w:r>
    </w:p>
    <w:p w:rsidR="0042058C" w:rsidRPr="0042058C" w:rsidRDefault="0042058C" w:rsidP="00E413C8">
      <w:pPr>
        <w:pStyle w:val="aff"/>
        <w:autoSpaceDE w:val="0"/>
        <w:autoSpaceDN w:val="0"/>
        <w:adjustRightInd w:val="0"/>
        <w:spacing w:after="0" w:line="240" w:lineRule="auto"/>
        <w:ind w:left="709"/>
        <w:jc w:val="both"/>
        <w:rPr>
          <w:rFonts w:ascii="Times New Roman" w:eastAsia="Times New Roman" w:hAnsi="Times New Roman" w:cs="Times New Roman"/>
          <w:noProof/>
          <w:sz w:val="28"/>
          <w:szCs w:val="28"/>
          <w:lang w:eastAsia="ru-RU"/>
        </w:rPr>
      </w:pPr>
      <w:r w:rsidRPr="00301758">
        <w:rPr>
          <w:rFonts w:ascii="Times New Roman" w:eastAsia="Times New Roman" w:hAnsi="Times New Roman" w:cs="Times New Roman"/>
          <w:noProof/>
          <w:sz w:val="28"/>
          <w:szCs w:val="28"/>
          <w:lang w:eastAsia="ru-RU"/>
        </w:rPr>
        <w:t>Изобильный – Труновс</w:t>
      </w:r>
      <w:r w:rsidR="00E413C8">
        <w:rPr>
          <w:rFonts w:ascii="Times New Roman" w:eastAsia="Times New Roman" w:hAnsi="Times New Roman" w:cs="Times New Roman"/>
          <w:noProof/>
          <w:sz w:val="28"/>
          <w:szCs w:val="28"/>
          <w:lang w:eastAsia="ru-RU"/>
        </w:rPr>
        <w:t>кое – Кугульта;</w:t>
      </w:r>
      <w:r w:rsidRPr="0042058C">
        <w:rPr>
          <w:rFonts w:ascii="Times New Roman" w:eastAsia="Times New Roman" w:hAnsi="Times New Roman" w:cs="Times New Roman"/>
          <w:noProof/>
          <w:sz w:val="28"/>
          <w:szCs w:val="28"/>
          <w:lang w:eastAsia="ru-RU"/>
        </w:rPr>
        <w:t>Ростов-на-Дону (от М-4"Дон") - Ставрополь (в границах Ставропольского края).</w:t>
      </w:r>
    </w:p>
    <w:p w:rsidR="0042058C" w:rsidRPr="0042058C" w:rsidRDefault="0042058C" w:rsidP="0042058C">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Труновский муниципальный округ занимает периферийное положение в системе Ставропольского края и вместе с тем, является важным опорным элементом внешних связей и центров Ставрополья. </w:t>
      </w:r>
    </w:p>
    <w:p w:rsidR="00E413C8" w:rsidRDefault="0042058C" w:rsidP="00E413C8">
      <w:pPr>
        <w:autoSpaceDE w:val="0"/>
        <w:autoSpaceDN w:val="0"/>
        <w:adjustRightInd w:val="0"/>
        <w:spacing w:after="0" w:line="240" w:lineRule="auto"/>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Село Донское является наиболее крупным, населенным пунктом </w:t>
      </w:r>
      <w:r w:rsidR="00301758">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развитым транспортным узлом, расположение на региональной трассе только усиливает эффект в системе расселения округа.</w:t>
      </w:r>
    </w:p>
    <w:p w:rsidR="0042058C" w:rsidRPr="000528C2" w:rsidRDefault="0042058C" w:rsidP="000528C2">
      <w:pPr>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Pr>
          <w:noProof/>
          <w:lang w:eastAsia="ru-RU"/>
        </w:rPr>
        <w:drawing>
          <wp:inline distT="0" distB="0" distL="0" distR="0" wp14:anchorId="4FFF1C48" wp14:editId="08ECE235">
            <wp:extent cx="3870252" cy="4497572"/>
            <wp:effectExtent l="0" t="0" r="0" b="0"/>
            <wp:docPr id="3" name="Рисунок 3" descr="Описание: C:\Users\hp\Downloads\Транспор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hp\Downloads\Транспорт (2).jpg"/>
                    <pic:cNvPicPr>
                      <a:picLocks noChangeAspect="1" noChangeArrowheads="1"/>
                    </pic:cNvPicPr>
                  </pic:nvPicPr>
                  <pic:blipFill>
                    <a:blip r:embed="rId42" cstate="print">
                      <a:extLst>
                        <a:ext uri="{28A0092B-C50C-407E-A947-70E740481C1C}">
                          <a14:useLocalDpi xmlns:a14="http://schemas.microsoft.com/office/drawing/2010/main" val="0"/>
                        </a:ext>
                      </a:extLst>
                    </a:blip>
                    <a:srcRect l="3514" t="4166" r="4729" b="7440"/>
                    <a:stretch>
                      <a:fillRect/>
                    </a:stretch>
                  </pic:blipFill>
                  <pic:spPr bwMode="auto">
                    <a:xfrm>
                      <a:off x="0" y="0"/>
                      <a:ext cx="3870440" cy="4497791"/>
                    </a:xfrm>
                    <a:prstGeom prst="rect">
                      <a:avLst/>
                    </a:prstGeom>
                    <a:noFill/>
                    <a:ln>
                      <a:noFill/>
                    </a:ln>
                  </pic:spPr>
                </pic:pic>
              </a:graphicData>
            </a:graphic>
          </wp:inline>
        </w:drawing>
      </w:r>
    </w:p>
    <w:p w:rsidR="0042058C" w:rsidRPr="0042058C" w:rsidRDefault="0042058C" w:rsidP="0042058C">
      <w:pPr>
        <w:autoSpaceDE w:val="0"/>
        <w:autoSpaceDN w:val="0"/>
        <w:adjustRightInd w:val="0"/>
        <w:spacing w:after="0" w:line="240" w:lineRule="auto"/>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31</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Транспортная инфраструктура Труновского муниципального округа</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Основные региональные транспортные оси разделяют округ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2 ключевых участка. Первый связан по направлению на север (участок автодороги Ростов-на-Дону – Ставрополь). На нем располагаются 2 крупных населенных пунктов округа: с. Донское (центр округа), и с. Безопасное. Вторая ось связана с направлением трассы «Изобильный – Труновское – Кугульта». Данная дорога также пересекает административный центр округа, но и связывает с собой с. Труновское (3-й по численности населенный пункт). Таким образом, региональные автодороги связывают, как соседние городские и муниципальные округа, так и обеспечивают крепкие внутренние взаимосвязи между поселениями.</w:t>
      </w:r>
    </w:p>
    <w:p w:rsidR="0042058C" w:rsidRPr="0042058C" w:rsidRDefault="0042058C" w:rsidP="00301758">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Административный центр с. Донское нах</w:t>
      </w:r>
      <w:r w:rsidR="00301758">
        <w:rPr>
          <w:rFonts w:ascii="Times New Roman" w:eastAsia="Calibri" w:hAnsi="Times New Roman" w:cs="Times New Roman"/>
          <w:sz w:val="28"/>
          <w:szCs w:val="28"/>
        </w:rPr>
        <w:t xml:space="preserve">одится в часовой доступности от </w:t>
      </w:r>
      <w:r w:rsidRPr="0042058C">
        <w:rPr>
          <w:rFonts w:ascii="Times New Roman" w:eastAsia="Calibri" w:hAnsi="Times New Roman" w:cs="Times New Roman"/>
          <w:sz w:val="28"/>
          <w:szCs w:val="28"/>
        </w:rPr>
        <w:t>реги</w:t>
      </w:r>
      <w:r w:rsidR="00301758">
        <w:rPr>
          <w:rFonts w:ascii="Times New Roman" w:eastAsia="Calibri" w:hAnsi="Times New Roman" w:cs="Times New Roman"/>
          <w:sz w:val="28"/>
          <w:szCs w:val="28"/>
        </w:rPr>
        <w:t xml:space="preserve">онального центра г. Ставрополь и </w:t>
      </w:r>
      <w:r w:rsidRPr="0042058C">
        <w:rPr>
          <w:rFonts w:ascii="Times New Roman" w:eastAsia="Calibri" w:hAnsi="Times New Roman" w:cs="Times New Roman"/>
          <w:sz w:val="28"/>
          <w:szCs w:val="28"/>
        </w:rPr>
        <w:t>международного аэропорта Ставрополь «Шпаковское» им. А.В. Суворова.</w:t>
      </w:r>
    </w:p>
    <w:p w:rsidR="0042058C" w:rsidRPr="0042058C" w:rsidRDefault="0042058C" w:rsidP="0042058C">
      <w:pPr>
        <w:spacing w:after="0"/>
        <w:ind w:firstLine="709"/>
        <w:jc w:val="both"/>
        <w:rPr>
          <w:rFonts w:ascii="Times New Roman" w:eastAsia="Calibri" w:hAnsi="Times New Roman" w:cs="Times New Roman"/>
          <w:sz w:val="28"/>
          <w:szCs w:val="28"/>
        </w:rPr>
      </w:pPr>
      <w:bookmarkStart w:id="46" w:name="_Toc37231914"/>
      <w:r w:rsidRPr="0042058C">
        <w:rPr>
          <w:rFonts w:ascii="Times New Roman" w:eastAsia="Calibri" w:hAnsi="Times New Roman" w:cs="Times New Roman"/>
          <w:sz w:val="28"/>
          <w:szCs w:val="28"/>
        </w:rPr>
        <w:t>Железнодорожный транспорт</w:t>
      </w:r>
      <w:bookmarkEnd w:id="46"/>
      <w:r w:rsidRPr="0042058C">
        <w:rPr>
          <w:rFonts w:ascii="Times New Roman" w:eastAsia="Calibri" w:hAnsi="Times New Roman" w:cs="Times New Roman"/>
          <w:sz w:val="28"/>
          <w:szCs w:val="28"/>
        </w:rPr>
        <w:t>.</w:t>
      </w:r>
      <w:bookmarkStart w:id="47" w:name="_Toc37231915"/>
      <w:r w:rsidRPr="0042058C">
        <w:rPr>
          <w:rFonts w:ascii="Times New Roman" w:eastAsia="Calibri" w:hAnsi="Times New Roman" w:cs="Times New Roman"/>
          <w:sz w:val="28"/>
          <w:szCs w:val="28"/>
        </w:rPr>
        <w:t xml:space="preserve"> Данный вид транспорта не получил развитие в округе.</w:t>
      </w:r>
      <w:r w:rsidRPr="0042058C">
        <w:rPr>
          <w:rFonts w:ascii="Times New Roman" w:eastAsia="Times New Roman" w:hAnsi="Times New Roman" w:cs="Times New Roman"/>
          <w:color w:val="000000"/>
          <w:sz w:val="28"/>
          <w:szCs w:val="28"/>
          <w:shd w:val="clear" w:color="auto" w:fill="FFFFFF"/>
        </w:rPr>
        <w:t xml:space="preserve"> </w:t>
      </w:r>
      <w:r w:rsidRPr="0042058C">
        <w:rPr>
          <w:rFonts w:ascii="Times New Roman" w:eastAsia="Calibri" w:hAnsi="Times New Roman" w:cs="Times New Roman"/>
          <w:sz w:val="28"/>
          <w:szCs w:val="28"/>
        </w:rPr>
        <w:t xml:space="preserve">Ближайшая железнодорожная станция находится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г. Изобильном – 25 км от с. Донского.</w:t>
      </w:r>
    </w:p>
    <w:p w:rsidR="0042058C" w:rsidRPr="0042058C" w:rsidRDefault="0042058C" w:rsidP="0042058C">
      <w:pPr>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Трубопроводный транспорт</w:t>
      </w:r>
      <w:bookmarkEnd w:id="47"/>
      <w:r w:rsidRPr="0042058C">
        <w:rPr>
          <w:rFonts w:ascii="Times New Roman" w:eastAsia="Times New Roman" w:hAnsi="Times New Roman" w:cs="Times New Roman"/>
          <w:sz w:val="28"/>
          <w:szCs w:val="28"/>
        </w:rPr>
        <w:t>. На территории Труновского муниципального округа проходит участок магистрального нефтепровода КТК «Тенгиз – Новороссийск», остальные объекты являются связывающими звеньями региональной сети. Проходит по территории муниципального округа в направлении с северо-востока на юго-запад. Участок оборудован НПС-4.</w:t>
      </w:r>
    </w:p>
    <w:p w:rsidR="0042058C" w:rsidRPr="0042058C" w:rsidRDefault="0042058C" w:rsidP="0042058C">
      <w:pPr>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По своему технологическому назначению НПС-4 – промежуточная перекачивающая станция без технологических резервуаров, но с узлом пуска-приема систем очистки и диагностики трубопровода, расположенная на 1031 километре нефтепровода Тенгиз – Новороссийск. В числе основных объектов станции: магистральная насосная, фильтры-грязеуловители, система сглаживания волн давления, операторная, насосная станция пожаротушения, административно-бытовое здание, очистные сооружения и так далее.</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48" w:name="_Toc85173293"/>
      <w:r w:rsidRPr="0042058C">
        <w:rPr>
          <w:rFonts w:ascii="Times New Roman" w:eastAsia="Calibri" w:hAnsi="Times New Roman" w:cs="Times New Roman"/>
          <w:sz w:val="28"/>
          <w:szCs w:val="28"/>
        </w:rPr>
        <w:t>2</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Автомобильный транспорт и улично-дорожная сеть</w:t>
      </w:r>
      <w:bookmarkEnd w:id="48"/>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Улично-дорожная сеть представляет собой систему взаимосвязанных автодорог местного (муниципального) значения, которые осуществляют важнейшую задачу – беспрепятственного перемещения людей внутри населенных пунктов, а также представляет собой часть единого транспортно-планировочного каркаса территории Труновского муниципального округа.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Важной особенностью является относительная территориальная близость населенных пунктов Труновского муниципального округа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центром с. Донским (от 12 до 45 км).</w:t>
      </w:r>
    </w:p>
    <w:p w:rsidR="0042058C" w:rsidRPr="0042058C" w:rsidRDefault="0042058C" w:rsidP="0042058C">
      <w:pPr>
        <w:spacing w:after="0"/>
        <w:ind w:firstLine="709"/>
        <w:rPr>
          <w:rFonts w:ascii="Times New Roman" w:eastAsia="Calibri" w:hAnsi="Times New Roman" w:cs="Times New Roman"/>
          <w:sz w:val="28"/>
          <w:szCs w:val="28"/>
        </w:rPr>
      </w:pP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02AEBBE3" wp14:editId="046AA286">
            <wp:extent cx="5438140" cy="6090285"/>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140" cy="6090285"/>
                    </a:xfrm>
                    <a:prstGeom prst="rect">
                      <a:avLst/>
                    </a:prstGeom>
                    <a:noFill/>
                  </pic:spPr>
                </pic:pic>
              </a:graphicData>
            </a:graphic>
          </wp:inline>
        </w:drawing>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Рисунок 32</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Транспортная связанность и зоны транспортной доступности </w:t>
      </w:r>
    </w:p>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Труновского МО</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42058C" w:rsidRPr="0042058C" w:rsidRDefault="0042058C" w:rsidP="0042058C">
      <w:pPr>
        <w:widowControl w:val="0"/>
        <w:autoSpaceDE w:val="0"/>
        <w:autoSpaceDN w:val="0"/>
        <w:adjustRightInd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Автодороги муниципального значения обслуживают внутренние окружные и межокружные перевозки. Общая протяженность автодорожной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границах муниципального округа составляет 311,7 км</w:t>
      </w:r>
      <w:r w:rsidRPr="0042058C">
        <w:rPr>
          <w:rFonts w:ascii="Times New Roman" w:eastAsia="Calibri" w:hAnsi="Times New Roman" w:cs="Times New Roman"/>
          <w:sz w:val="28"/>
          <w:szCs w:val="28"/>
          <w:vertAlign w:val="superscript"/>
        </w:rPr>
        <w:footnoteReference w:id="75"/>
      </w:r>
      <w:r w:rsidRPr="0042058C">
        <w:rPr>
          <w:rFonts w:ascii="Times New Roman" w:eastAsia="Calibri" w:hAnsi="Times New Roman" w:cs="Times New Roman"/>
          <w:sz w:val="28"/>
          <w:szCs w:val="28"/>
        </w:rPr>
        <w:t>, в том числе, дороги с твердым покрытием – 295,1 км</w:t>
      </w:r>
      <w:r w:rsidRPr="0042058C">
        <w:rPr>
          <w:rFonts w:ascii="Times New Roman" w:eastAsia="Calibri" w:hAnsi="Times New Roman" w:cs="Times New Roman"/>
          <w:sz w:val="28"/>
          <w:szCs w:val="28"/>
          <w:vertAlign w:val="superscript"/>
        </w:rPr>
        <w:footnoteReference w:id="76"/>
      </w:r>
      <w:r w:rsidRPr="0042058C">
        <w:rPr>
          <w:rFonts w:ascii="Times New Roman" w:eastAsia="Calibri" w:hAnsi="Times New Roman" w:cs="Times New Roman"/>
          <w:sz w:val="28"/>
          <w:szCs w:val="28"/>
        </w:rPr>
        <w:t>, с усовершенствованным покрытием                       – 164,1 км</w:t>
      </w:r>
      <w:r w:rsidRPr="0042058C">
        <w:rPr>
          <w:rFonts w:ascii="Times New Roman" w:eastAsia="Calibri" w:hAnsi="Times New Roman" w:cs="Times New Roman"/>
          <w:sz w:val="28"/>
          <w:szCs w:val="28"/>
          <w:vertAlign w:val="superscript"/>
        </w:rPr>
        <w:footnoteReference w:id="77"/>
      </w:r>
      <w:r w:rsidRPr="0042058C">
        <w:rPr>
          <w:rFonts w:ascii="Times New Roman" w:eastAsia="Calibri" w:hAnsi="Times New Roman" w:cs="Times New Roman"/>
          <w:sz w:val="28"/>
          <w:szCs w:val="28"/>
        </w:rPr>
        <w:t>, что составляет 52,6% от всех автодорог округа. Плотность дорожной сети округа составляет 180 км/тыс. км</w:t>
      </w:r>
      <w:r w:rsidRPr="0042058C">
        <w:rPr>
          <w:rFonts w:ascii="Times New Roman" w:eastAsia="Calibri" w:hAnsi="Times New Roman" w:cs="Times New Roman"/>
          <w:sz w:val="28"/>
          <w:szCs w:val="28"/>
          <w:vertAlign w:val="superscript"/>
        </w:rPr>
        <w:t>2</w:t>
      </w:r>
      <w:r w:rsidRPr="0042058C">
        <w:rPr>
          <w:rFonts w:ascii="Times New Roman" w:eastAsia="Calibri" w:hAnsi="Times New Roman" w:cs="Times New Roman"/>
          <w:sz w:val="28"/>
          <w:szCs w:val="28"/>
        </w:rPr>
        <w:t>, что значительно превышает общероссийский уровень (75 км/тыс. км</w:t>
      </w:r>
      <w:r w:rsidRPr="0042058C">
        <w:rPr>
          <w:rFonts w:ascii="Times New Roman" w:eastAsia="Calibri" w:hAnsi="Times New Roman" w:cs="Times New Roman"/>
          <w:sz w:val="28"/>
          <w:szCs w:val="28"/>
          <w:vertAlign w:val="superscript"/>
        </w:rPr>
        <w:t>2</w:t>
      </w:r>
      <w:r w:rsidRPr="0042058C">
        <w:rPr>
          <w:rFonts w:ascii="Times New Roman" w:eastAsia="Calibri" w:hAnsi="Times New Roman" w:cs="Times New Roman"/>
          <w:sz w:val="28"/>
          <w:szCs w:val="28"/>
        </w:rPr>
        <w:t xml:space="preserve">). Полный перечень автомобильных дорог общего пользования местного значения приведен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Приложении 6.</w:t>
      </w:r>
      <w:r w:rsidRPr="0042058C">
        <w:rPr>
          <w:rFonts w:ascii="Times New Roman" w:eastAsia="Calibri" w:hAnsi="Times New Roman" w:cs="Times New Roman"/>
          <w:sz w:val="28"/>
          <w:szCs w:val="28"/>
          <w:vertAlign w:val="superscript"/>
        </w:rPr>
        <w:footnoteReference w:id="78"/>
      </w:r>
      <w:r w:rsidRPr="0042058C">
        <w:rPr>
          <w:rFonts w:ascii="Times New Roman" w:eastAsia="Calibri" w:hAnsi="Times New Roman" w:cs="Times New Roman"/>
          <w:sz w:val="28"/>
          <w:szCs w:val="28"/>
        </w:rPr>
        <w:t xml:space="preserve">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Село Донское, является административным центром округа, его транспортная сеть представлена вытянутой прямоугольной структурой, которая сформировалась исторически по мере развития сети с кварталами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от 2 до 8 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Основная сеть улиц, осуществляющих магистральное сообщение сосредоточена на улицах: Ленина, Солнечная, Крестьянская, Промышленная. Также, стоит выделить крупные переулки, которые связывают частную жилую застройку с основными общественно-деловыми зонами.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Центр села представлен массивом парковой территории, и ограничен ул. Ленина, Кавказской и Солнечной. Здесь выделены участки пешеходного движения. Остальные населенные пункты Труновского МО представлены аналогичной прямоугольной сеткой кварталов, которые соединены между собой внутренними муниципальными дорогами.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Дальнейшее развитие улично-дорожной сети не будет осуществляться в связи с серьезным оттоком сельского населения в более крупные населенные пункты Ставропольского края. Строительство дополнительных участков автодорог для улучшения связей с соседними округами Ставропольского края не требуется.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улучшения транспортной связности населенных пунктов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пределах округа, а также для обеспечения транзита автотранспорта необходимо осуществить реконструкцию основных муниципальных автодорог.</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первую очередь и расчетный срок генеральным планом предусмотрены мероприятия, которые направлены на рост внутренних взаимосвязей населенных пунктов Труновского муниципального округа.</w:t>
      </w:r>
    </w:p>
    <w:p w:rsidR="0042058C" w:rsidRPr="0042058C" w:rsidRDefault="0042058C" w:rsidP="0042058C">
      <w:pPr>
        <w:spacing w:after="0"/>
        <w:ind w:left="567"/>
        <w:jc w:val="both"/>
        <w:outlineLvl w:val="2"/>
        <w:rPr>
          <w:rFonts w:ascii="Times New Roman" w:eastAsia="Calibri" w:hAnsi="Times New Roman" w:cs="Times New Roman"/>
          <w:sz w:val="28"/>
          <w:szCs w:val="28"/>
        </w:rPr>
      </w:pPr>
      <w:bookmarkStart w:id="49" w:name="_Toc85173294"/>
      <w:r w:rsidRPr="0042058C">
        <w:rPr>
          <w:rFonts w:ascii="Times New Roman" w:eastAsia="Calibri" w:hAnsi="Times New Roman" w:cs="Times New Roman"/>
          <w:sz w:val="28"/>
          <w:szCs w:val="28"/>
        </w:rPr>
        <w:t>3</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Общественный транспорт и объекты транспортной инфраструктуры</w:t>
      </w:r>
      <w:bookmarkEnd w:id="49"/>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Основным видом транспорта для передвижения между населенными пунктами внутри муниципального округа являются автобусы малой вместимости.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муниципальном округе 2 муниципальных маршрута регулярных перевозок, межпоселковые связи общественным транспортом развиты недостаточно хорошо. При этом, с. Донское является промежуточным звеном в сети маршрутных перевозок среднего и дальнего следования. Динамика пассажирских перевозок в период с 2014 по 2019 гг. значительно сократилась. Тенденция на сокращение показателей пассажирооборота будет продолжаться, это подкреплено несколькими основными трендами: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сельской местности у большинства жителей имеется частный автомобиль,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а во вторых, это постепенное снижение общей численности населения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отток жителей в более крупные населенные пункты, как муниципального округа, так и региона.</w:t>
      </w: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Pr="0042058C">
        <w:rPr>
          <w:rFonts w:ascii="Times New Roman" w:eastAsia="Calibri" w:hAnsi="Times New Roman" w:cs="Times New Roman"/>
          <w:bCs/>
          <w:sz w:val="28"/>
          <w:szCs w:val="28"/>
        </w:rPr>
        <w:fldChar w:fldCharType="begin"/>
      </w:r>
      <w:r w:rsidRPr="0042058C">
        <w:rPr>
          <w:rFonts w:ascii="Times New Roman" w:eastAsia="Calibri" w:hAnsi="Times New Roman" w:cs="Times New Roman"/>
          <w:bCs/>
          <w:sz w:val="28"/>
          <w:szCs w:val="28"/>
        </w:rPr>
        <w:instrText xml:space="preserve"> SEQ Таблица \* ARABIC </w:instrText>
      </w:r>
      <w:r w:rsidRPr="0042058C">
        <w:rPr>
          <w:rFonts w:ascii="Times New Roman" w:eastAsia="Calibri" w:hAnsi="Times New Roman" w:cs="Times New Roman"/>
          <w:bCs/>
          <w:sz w:val="28"/>
          <w:szCs w:val="28"/>
        </w:rPr>
        <w:fldChar w:fldCharType="separate"/>
      </w:r>
      <w:r w:rsidR="00AC7BDA">
        <w:rPr>
          <w:rFonts w:ascii="Times New Roman" w:eastAsia="Calibri" w:hAnsi="Times New Roman" w:cs="Times New Roman"/>
          <w:bCs/>
          <w:noProof/>
          <w:sz w:val="28"/>
          <w:szCs w:val="28"/>
        </w:rPr>
        <w:t>1</w:t>
      </w:r>
      <w:r w:rsidRPr="0042058C">
        <w:rPr>
          <w:rFonts w:ascii="Times New Roman" w:eastAsia="Calibri" w:hAnsi="Times New Roman" w:cs="Times New Roman"/>
          <w:bCs/>
          <w:noProof/>
          <w:sz w:val="28"/>
          <w:szCs w:val="28"/>
        </w:rPr>
        <w:fldChar w:fldCharType="end"/>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Динамика основных показателей пассажирского транспорта Труновского муниципального округа в 2014 – 2019 гг.</w:t>
      </w:r>
      <w:r w:rsidRPr="0042058C">
        <w:rPr>
          <w:rFonts w:ascii="Times New Roman" w:eastAsia="Calibri" w:hAnsi="Times New Roman" w:cs="Times New Roman"/>
          <w:bCs/>
          <w:sz w:val="28"/>
          <w:szCs w:val="28"/>
          <w:vertAlign w:val="superscript"/>
        </w:rPr>
        <w:footnoteReference w:id="79"/>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017"/>
        <w:gridCol w:w="1145"/>
        <w:gridCol w:w="718"/>
        <w:gridCol w:w="718"/>
        <w:gridCol w:w="718"/>
        <w:gridCol w:w="718"/>
        <w:gridCol w:w="718"/>
        <w:gridCol w:w="716"/>
      </w:tblGrid>
      <w:tr w:rsidR="0042058C" w:rsidRPr="0042058C" w:rsidTr="0042058C">
        <w:trPr>
          <w:tblHeader/>
          <w:jc w:val="center"/>
        </w:trPr>
        <w:tc>
          <w:tcPr>
            <w:tcW w:w="212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показателей</w:t>
            </w:r>
          </w:p>
        </w:tc>
        <w:tc>
          <w:tcPr>
            <w:tcW w:w="60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Единица</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измерения</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2014</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2015</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2016</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2017</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2018</w:t>
            </w:r>
          </w:p>
        </w:tc>
        <w:tc>
          <w:tcPr>
            <w:tcW w:w="3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2019</w:t>
            </w:r>
          </w:p>
        </w:tc>
      </w:tr>
      <w:tr w:rsidR="0042058C" w:rsidRPr="0042058C" w:rsidTr="0042058C">
        <w:trPr>
          <w:jc w:val="center"/>
        </w:trPr>
        <w:tc>
          <w:tcPr>
            <w:tcW w:w="2122" w:type="pct"/>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Перевезено пассажиров автобусами всех категорий перевозчиков на коммерческой основе</w:t>
            </w:r>
          </w:p>
        </w:tc>
        <w:tc>
          <w:tcPr>
            <w:tcW w:w="60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человек</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241</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5</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114</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5</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108</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7</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73,8</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44,6</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47,5</w:t>
            </w:r>
          </w:p>
        </w:tc>
      </w:tr>
      <w:tr w:rsidR="0042058C" w:rsidRPr="0042058C" w:rsidTr="0042058C">
        <w:trPr>
          <w:trHeight w:val="432"/>
          <w:jc w:val="center"/>
        </w:trPr>
        <w:tc>
          <w:tcPr>
            <w:tcW w:w="2122" w:type="pct"/>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Пассажирооборот автобусами всех категорий перевозчиков на коммерческой основе </w:t>
            </w:r>
          </w:p>
        </w:tc>
        <w:tc>
          <w:tcPr>
            <w:tcW w:w="60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пасс. км</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17594</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8</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12694</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1</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lang w:val="en-US"/>
              </w:rPr>
            </w:pPr>
            <w:r w:rsidRPr="0042058C">
              <w:rPr>
                <w:rFonts w:ascii="Times New Roman" w:eastAsia="Calibri" w:hAnsi="Times New Roman" w:cs="Times New Roman"/>
                <w:sz w:val="20"/>
                <w:szCs w:val="20"/>
                <w:lang w:val="en-US"/>
              </w:rPr>
              <w:t>13062</w:t>
            </w:r>
            <w:r w:rsidRPr="0042058C">
              <w:rPr>
                <w:rFonts w:ascii="Times New Roman" w:eastAsia="Calibri" w:hAnsi="Times New Roman" w:cs="Times New Roman"/>
                <w:sz w:val="20"/>
                <w:szCs w:val="20"/>
              </w:rPr>
              <w:t>,</w:t>
            </w:r>
            <w:r w:rsidRPr="0042058C">
              <w:rPr>
                <w:rFonts w:ascii="Times New Roman" w:eastAsia="Calibri" w:hAnsi="Times New Roman" w:cs="Times New Roman"/>
                <w:sz w:val="20"/>
                <w:szCs w:val="20"/>
                <w:lang w:val="en-US"/>
              </w:rPr>
              <w:t>3</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9825,1</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5285,9</w:t>
            </w:r>
          </w:p>
        </w:tc>
        <w:tc>
          <w:tcPr>
            <w:tcW w:w="3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5652,4</w:t>
            </w:r>
          </w:p>
        </w:tc>
      </w:tr>
    </w:tbl>
    <w:p w:rsidR="0042058C" w:rsidRPr="0042058C" w:rsidRDefault="0042058C" w:rsidP="0042058C">
      <w:pPr>
        <w:spacing w:after="0"/>
        <w:ind w:firstLine="709"/>
        <w:jc w:val="both"/>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Работа наземного общественного пассажирского транспорта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обеспечению пассажироперевозок осуществляется автобусными маршрутами.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Общее число маршрутов регулярного сообщения для транспорта общего пользования, выполняющего пассажирские перевозки на территории муниципального округа - 3. Перечень маршрутов с их параметрами представлен в таблице ниже.</w:t>
      </w: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0528C2">
        <w:rPr>
          <w:rFonts w:ascii="Times New Roman" w:eastAsia="Calibri" w:hAnsi="Times New Roman" w:cs="Times New Roman"/>
          <w:bCs/>
          <w:sz w:val="28"/>
          <w:szCs w:val="28"/>
        </w:rPr>
        <w:t>59</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Перечень автобусных маршрутов на территории Труновского муниципального округа Ставропольского края</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6020"/>
        <w:gridCol w:w="2791"/>
      </w:tblGrid>
      <w:tr w:rsidR="0042058C" w:rsidRPr="0042058C" w:rsidTr="0042058C">
        <w:trPr>
          <w:trHeight w:val="20"/>
        </w:trPr>
        <w:tc>
          <w:tcPr>
            <w:tcW w:w="39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w:t>
            </w:r>
          </w:p>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п/п</w:t>
            </w:r>
          </w:p>
        </w:tc>
        <w:tc>
          <w:tcPr>
            <w:tcW w:w="3145"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Конечные пункты</w:t>
            </w:r>
          </w:p>
        </w:tc>
        <w:tc>
          <w:tcPr>
            <w:tcW w:w="145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Протяженность маршрута, км</w:t>
            </w:r>
          </w:p>
        </w:tc>
      </w:tr>
      <w:tr w:rsidR="0042058C" w:rsidRPr="0042058C" w:rsidTr="0042058C">
        <w:trPr>
          <w:trHeight w:val="20"/>
        </w:trPr>
        <w:tc>
          <w:tcPr>
            <w:tcW w:w="39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w:t>
            </w:r>
          </w:p>
        </w:tc>
        <w:tc>
          <w:tcPr>
            <w:tcW w:w="314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lang w:eastAsia="ru-RU"/>
              </w:rPr>
              <w:t xml:space="preserve">Донское-Подлесное </w:t>
            </w:r>
          </w:p>
        </w:tc>
        <w:tc>
          <w:tcPr>
            <w:tcW w:w="145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49</w:t>
            </w:r>
          </w:p>
        </w:tc>
      </w:tr>
      <w:tr w:rsidR="0042058C" w:rsidRPr="0042058C" w:rsidTr="0042058C">
        <w:trPr>
          <w:trHeight w:val="20"/>
        </w:trPr>
        <w:tc>
          <w:tcPr>
            <w:tcW w:w="39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w:t>
            </w:r>
          </w:p>
        </w:tc>
        <w:tc>
          <w:tcPr>
            <w:tcW w:w="314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lang w:eastAsia="ru-RU"/>
              </w:rPr>
              <w:t xml:space="preserve">с/х. им. Кирова – с.Донское </w:t>
            </w:r>
          </w:p>
        </w:tc>
        <w:tc>
          <w:tcPr>
            <w:tcW w:w="145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22</w:t>
            </w:r>
          </w:p>
        </w:tc>
      </w:tr>
      <w:tr w:rsidR="0042058C" w:rsidRPr="0042058C" w:rsidTr="0042058C">
        <w:trPr>
          <w:trHeight w:val="20"/>
        </w:trPr>
        <w:tc>
          <w:tcPr>
            <w:tcW w:w="39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3</w:t>
            </w:r>
          </w:p>
        </w:tc>
        <w:tc>
          <w:tcPr>
            <w:tcW w:w="314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lang w:eastAsia="ru-RU"/>
              </w:rPr>
              <w:t xml:space="preserve">Труновское –Донское </w:t>
            </w:r>
          </w:p>
        </w:tc>
        <w:tc>
          <w:tcPr>
            <w:tcW w:w="1458"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19</w:t>
            </w:r>
          </w:p>
        </w:tc>
      </w:tr>
    </w:tbl>
    <w:p w:rsidR="0042058C" w:rsidRPr="0042058C" w:rsidRDefault="0042058C" w:rsidP="0042058C">
      <w:pPr>
        <w:spacing w:after="0"/>
        <w:ind w:firstLine="709"/>
        <w:jc w:val="both"/>
        <w:rPr>
          <w:rFonts w:ascii="Times New Roman" w:eastAsia="Calibri" w:hAnsi="Times New Roman" w:cs="Times New Roman"/>
          <w:sz w:val="24"/>
          <w:szCs w:val="24"/>
        </w:rPr>
      </w:pPr>
      <w:bookmarkStart w:id="50" w:name="_Toc77950579"/>
    </w:p>
    <w:bookmarkEnd w:id="50"/>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Протяженность сети маршрутов общественного транспорта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территории Труновского муниципального округа Ставропольского края составляет порядка 90 км. На территории с. Донского расположен автовокзал, с которого осуществляется перевозка пассажиров. Здание автовокзала в целом находится в удовлетворительном состоянии.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настоящее время действует более 20 междугородних маршрутов, которые осуществляют перевозку в Ростовскую область (Ростов-на-Дону);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юго-запад в Краснодарский край (г. Краснодар и побережье Черного моря) и республику Крым; активно внутри Ставропольского края (г. Ставрополь,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г. Изобильный, г-к Пятигорск и др.), а также на юг в Дагестан (г. Махачкала, г. Хасавюрт).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Обслуживание автомобилей и пассажиров населенных пунктов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автомобильных дорог на территории Труновского муниципального округа осуществляется объектами дорожного сервиса, АЗС, СТО. Всего расположено 11 АЗС: 6 в с. Донском, по 2 в с. Безопасном и с. Труновском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1 в пос. им. Кирова.</w:t>
      </w:r>
    </w:p>
    <w:p w:rsidR="0042058C" w:rsidRPr="0042058C" w:rsidRDefault="0042058C" w:rsidP="0042058C">
      <w:pPr>
        <w:spacing w:after="160"/>
        <w:jc w:val="center"/>
        <w:rPr>
          <w:rFonts w:ascii="Times New Roman" w:eastAsia="Calibri" w:hAnsi="Times New Roman" w:cs="Times New Roman"/>
          <w:sz w:val="28"/>
          <w:szCs w:val="28"/>
        </w:rPr>
      </w:pPr>
      <w:r>
        <w:rPr>
          <w:rFonts w:ascii="Arial" w:eastAsia="Times New Roman" w:hAnsi="Arial" w:cs="Arial"/>
          <w:noProof/>
          <w:sz w:val="24"/>
          <w:szCs w:val="24"/>
          <w:lang w:eastAsia="ru-RU"/>
        </w:rPr>
        <w:drawing>
          <wp:inline distT="0" distB="0" distL="0" distR="0" wp14:anchorId="09E9A4DC" wp14:editId="63663C8B">
            <wp:extent cx="4646295" cy="5699125"/>
            <wp:effectExtent l="0" t="0" r="1905" b="0"/>
            <wp:docPr id="2" name="Рисунок 2" descr="Описание: D:\Проекты\ГП Труновского муниципального округа\исходка по труновке\28-07-2021_12-08-17\9 Траспорт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Проекты\ГП Труновского муниципального округа\исходка по труновке\28-07-2021_12-08-17\9 Траспортная инфраструктур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6295" cy="5699125"/>
                    </a:xfrm>
                    <a:prstGeom prst="rect">
                      <a:avLst/>
                    </a:prstGeom>
                    <a:noFill/>
                    <a:ln>
                      <a:noFill/>
                    </a:ln>
                  </pic:spPr>
                </pic:pic>
              </a:graphicData>
            </a:graphic>
          </wp:inline>
        </w:drawing>
      </w: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color w:val="262626"/>
          <w:sz w:val="28"/>
          <w:szCs w:val="28"/>
        </w:rPr>
        <w:t xml:space="preserve"> </w:t>
      </w:r>
      <w:r w:rsidRPr="0042058C">
        <w:rPr>
          <w:rFonts w:ascii="Times New Roman" w:eastAsia="Calibri" w:hAnsi="Times New Roman" w:cs="Times New Roman"/>
          <w:bCs/>
          <w:sz w:val="28"/>
          <w:szCs w:val="28"/>
        </w:rPr>
        <w:t xml:space="preserve">Рисунок </w:t>
      </w:r>
      <w:r w:rsidRPr="0042058C">
        <w:rPr>
          <w:rFonts w:ascii="Times New Roman" w:eastAsia="Calibri" w:hAnsi="Times New Roman" w:cs="Times New Roman"/>
          <w:bCs/>
          <w:sz w:val="28"/>
          <w:szCs w:val="28"/>
        </w:rPr>
        <w:fldChar w:fldCharType="begin"/>
      </w:r>
      <w:r w:rsidRPr="0042058C">
        <w:rPr>
          <w:rFonts w:ascii="Times New Roman" w:eastAsia="Calibri" w:hAnsi="Times New Roman" w:cs="Times New Roman"/>
          <w:bCs/>
          <w:sz w:val="28"/>
          <w:szCs w:val="28"/>
        </w:rPr>
        <w:instrText xml:space="preserve"> SEQ Рисунок \* ARABIC </w:instrText>
      </w:r>
      <w:r w:rsidRPr="0042058C">
        <w:rPr>
          <w:rFonts w:ascii="Times New Roman" w:eastAsia="Calibri" w:hAnsi="Times New Roman" w:cs="Times New Roman"/>
          <w:bCs/>
          <w:sz w:val="28"/>
          <w:szCs w:val="28"/>
        </w:rPr>
        <w:fldChar w:fldCharType="separate"/>
      </w:r>
      <w:r w:rsidR="00AC7BDA">
        <w:rPr>
          <w:rFonts w:ascii="Times New Roman" w:eastAsia="Calibri" w:hAnsi="Times New Roman" w:cs="Times New Roman"/>
          <w:bCs/>
          <w:noProof/>
          <w:sz w:val="28"/>
          <w:szCs w:val="28"/>
        </w:rPr>
        <w:t>2</w:t>
      </w:r>
      <w:r w:rsidRPr="0042058C">
        <w:rPr>
          <w:rFonts w:ascii="Times New Roman" w:eastAsia="Calibri" w:hAnsi="Times New Roman" w:cs="Times New Roman"/>
          <w:bCs/>
          <w:noProof/>
          <w:sz w:val="28"/>
          <w:szCs w:val="28"/>
        </w:rPr>
        <w:fldChar w:fldCharType="end"/>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Объекты обслуживания, расположенные на территории Труновского муниципального округа</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соответствии с п. 11.40-11.41 СП 42.13330.2016 «Градостроительство. Планировка и застройка городских и сельских поселений» станции технического обслуживания автомобилей следует проектировать из расчета один пост на 200 легковых автомобилей. Автозаправочные станции (АЗС) следует проектировать из расчета одна топливораздаточная колонка на 1200 легковых автомобилей.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Размещение проектируемых АЗС и СТО (автосервисных комплексов) произвести в основном возле основных населенных пунктов Труновского муниципального округа.</w:t>
      </w:r>
    </w:p>
    <w:p w:rsidR="0042058C" w:rsidRPr="0042058C" w:rsidRDefault="0042058C" w:rsidP="00E413C8">
      <w:pPr>
        <w:spacing w:after="0" w:line="240" w:lineRule="auto"/>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Таким образом, анализа транспортной инфраструктуры округа позволяет сделать следующие выводы:</w:t>
      </w:r>
    </w:p>
    <w:p w:rsidR="0042058C" w:rsidRPr="0042058C" w:rsidRDefault="00E413C8" w:rsidP="00E413C8">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2058C" w:rsidRPr="0042058C">
        <w:rPr>
          <w:rFonts w:ascii="Times New Roman" w:eastAsia="Calibri" w:hAnsi="Times New Roman" w:cs="Times New Roman"/>
          <w:sz w:val="28"/>
          <w:szCs w:val="28"/>
        </w:rPr>
        <w:t>Сформированный транспортный каркас связывает все населенные пункты Труновского муниципального округа и обеспечивает, как внутренние, так и внешние связи.</w:t>
      </w:r>
    </w:p>
    <w:p w:rsidR="0042058C" w:rsidRPr="0042058C" w:rsidRDefault="00E413C8" w:rsidP="00E413C8">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2058C" w:rsidRPr="0042058C">
        <w:rPr>
          <w:rFonts w:ascii="Times New Roman" w:eastAsia="Calibri" w:hAnsi="Times New Roman" w:cs="Times New Roman"/>
          <w:sz w:val="28"/>
          <w:szCs w:val="28"/>
        </w:rPr>
        <w:t xml:space="preserve">Внутренняя сеть автомобильных дорог сельских поселений находится </w:t>
      </w:r>
      <w:r>
        <w:rPr>
          <w:rFonts w:ascii="Times New Roman" w:eastAsia="Calibri" w:hAnsi="Times New Roman" w:cs="Times New Roman"/>
          <w:sz w:val="28"/>
          <w:szCs w:val="28"/>
        </w:rPr>
        <w:t xml:space="preserve">      </w:t>
      </w:r>
      <w:r w:rsidR="0042058C" w:rsidRPr="0042058C">
        <w:rPr>
          <w:rFonts w:ascii="Times New Roman" w:eastAsia="Calibri" w:hAnsi="Times New Roman" w:cs="Times New Roman"/>
          <w:sz w:val="28"/>
          <w:szCs w:val="28"/>
        </w:rPr>
        <w:t>в удовлетворительном состоянии. Межселенные автодороги местного значения имеют асфальтное покрытие.</w:t>
      </w:r>
    </w:p>
    <w:p w:rsidR="0042058C" w:rsidRPr="0042058C" w:rsidRDefault="00E413C8" w:rsidP="00E413C8">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2058C" w:rsidRPr="0042058C">
        <w:rPr>
          <w:rFonts w:ascii="Times New Roman" w:eastAsia="Calibri" w:hAnsi="Times New Roman" w:cs="Times New Roman"/>
          <w:sz w:val="28"/>
          <w:szCs w:val="28"/>
        </w:rPr>
        <w:t>Внутреннее сообщение осуществляется в основном за счет личного транспорта, маршрутная</w:t>
      </w:r>
      <w:r>
        <w:rPr>
          <w:rFonts w:ascii="Times New Roman" w:eastAsia="Calibri" w:hAnsi="Times New Roman" w:cs="Times New Roman"/>
          <w:sz w:val="28"/>
          <w:szCs w:val="28"/>
        </w:rPr>
        <w:t xml:space="preserve"> сеть слабая. Имеются сложности</w:t>
      </w:r>
      <w:r w:rsidR="00301758">
        <w:rPr>
          <w:rFonts w:ascii="Times New Roman" w:eastAsia="Calibri" w:hAnsi="Times New Roman" w:cs="Times New Roman"/>
          <w:sz w:val="28"/>
          <w:szCs w:val="28"/>
        </w:rPr>
        <w:t xml:space="preserve"> </w:t>
      </w:r>
      <w:r w:rsidR="0042058C" w:rsidRPr="0042058C">
        <w:rPr>
          <w:rFonts w:ascii="Times New Roman" w:eastAsia="Calibri" w:hAnsi="Times New Roman" w:cs="Times New Roman"/>
          <w:sz w:val="28"/>
          <w:szCs w:val="28"/>
        </w:rPr>
        <w:t>в обновлении общественного транспорта, улучшения качества предоставляемых услуг.</w:t>
      </w:r>
    </w:p>
    <w:p w:rsidR="0042058C" w:rsidRPr="0042058C" w:rsidRDefault="00E413C8" w:rsidP="00E413C8">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2058C" w:rsidRPr="0042058C">
        <w:rPr>
          <w:rFonts w:ascii="Times New Roman" w:eastAsia="Calibri" w:hAnsi="Times New Roman" w:cs="Times New Roman"/>
          <w:sz w:val="28"/>
          <w:szCs w:val="28"/>
        </w:rPr>
        <w:t xml:space="preserve">Железнодорожный, водный транспорт отсутствует. Трубопроводный транспорт развит слабо. На перспективу развитие этого вида </w:t>
      </w:r>
      <w:r>
        <w:rPr>
          <w:rFonts w:ascii="Times New Roman" w:eastAsia="Calibri" w:hAnsi="Times New Roman" w:cs="Times New Roman"/>
          <w:sz w:val="28"/>
          <w:szCs w:val="28"/>
        </w:rPr>
        <w:t xml:space="preserve">                                  </w:t>
      </w:r>
      <w:r w:rsidR="0042058C" w:rsidRPr="0042058C">
        <w:rPr>
          <w:rFonts w:ascii="Times New Roman" w:eastAsia="Calibri" w:hAnsi="Times New Roman" w:cs="Times New Roman"/>
          <w:sz w:val="28"/>
          <w:szCs w:val="28"/>
        </w:rPr>
        <w:t>не предусмотрено.</w:t>
      </w:r>
    </w:p>
    <w:p w:rsidR="0042058C" w:rsidRPr="0042058C" w:rsidRDefault="0042058C" w:rsidP="00E413C8">
      <w:pPr>
        <w:shd w:val="clear" w:color="auto" w:fill="FFFFFF"/>
        <w:spacing w:after="0" w:line="240" w:lineRule="auto"/>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укрепления транспортных связей населенных пунктов Труновского муниципального округа и улично-дорожной сети сельских поселений предлагается: </w:t>
      </w:r>
    </w:p>
    <w:p w:rsidR="0042058C" w:rsidRPr="0042058C" w:rsidRDefault="0042058C" w:rsidP="0042058C">
      <w:pPr>
        <w:shd w:val="clear" w:color="auto" w:fill="FFFFFF"/>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строительство и реконструкция автомобильных дорог местного значения, в первую очередь в крупных населенных пунктах округа;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создание автокемпингов, а также сети АГНКС (с учетом увеличения использования газомоторного топлива).</w:t>
      </w:r>
    </w:p>
    <w:p w:rsidR="0042058C" w:rsidRPr="0042058C" w:rsidRDefault="0042058C" w:rsidP="0042058C">
      <w:pPr>
        <w:spacing w:after="0"/>
        <w:ind w:firstLine="567"/>
        <w:jc w:val="both"/>
        <w:outlineLvl w:val="1"/>
        <w:rPr>
          <w:rFonts w:ascii="Times New Roman" w:eastAsia="Calibri" w:hAnsi="Times New Roman" w:cs="Times New Roman"/>
          <w:sz w:val="28"/>
          <w:szCs w:val="28"/>
        </w:rPr>
      </w:pPr>
      <w:bookmarkStart w:id="51" w:name="_Toc85173295"/>
      <w:r w:rsidRPr="0042058C">
        <w:rPr>
          <w:rFonts w:ascii="Times New Roman" w:eastAsia="Calibri" w:hAnsi="Times New Roman" w:cs="Times New Roman"/>
          <w:sz w:val="28"/>
          <w:szCs w:val="28"/>
        </w:rPr>
        <w:t xml:space="preserve">  13. Инженерная инфраструктура</w:t>
      </w:r>
      <w:bookmarkEnd w:id="51"/>
      <w:r w:rsidRPr="0042058C">
        <w:rPr>
          <w:rFonts w:ascii="Times New Roman" w:eastAsia="Calibri" w:hAnsi="Times New Roman" w:cs="Times New Roman"/>
          <w:sz w:val="28"/>
          <w:szCs w:val="28"/>
        </w:rPr>
        <w:t>.</w:t>
      </w:r>
    </w:p>
    <w:p w:rsidR="0042058C" w:rsidRPr="0042058C" w:rsidRDefault="0042058C" w:rsidP="0042058C">
      <w:pPr>
        <w:spacing w:after="0"/>
        <w:ind w:left="567"/>
        <w:jc w:val="both"/>
        <w:outlineLvl w:val="2"/>
        <w:rPr>
          <w:rFonts w:ascii="Times New Roman" w:eastAsia="Calibri" w:hAnsi="Times New Roman" w:cs="Times New Roman"/>
          <w:sz w:val="28"/>
          <w:szCs w:val="28"/>
        </w:rPr>
      </w:pPr>
      <w:bookmarkStart w:id="52" w:name="_Toc85173296"/>
      <w:r w:rsidRPr="0042058C">
        <w:rPr>
          <w:rFonts w:ascii="Times New Roman" w:eastAsia="Calibri" w:hAnsi="Times New Roman" w:cs="Times New Roman"/>
          <w:sz w:val="28"/>
          <w:szCs w:val="28"/>
        </w:rPr>
        <w:t xml:space="preserve">  1</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Водоснабжение и водоотведение</w:t>
      </w:r>
      <w:bookmarkEnd w:id="52"/>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b/>
          <w:sz w:val="28"/>
          <w:szCs w:val="28"/>
        </w:rPr>
      </w:pPr>
      <w:r w:rsidRPr="0042058C">
        <w:rPr>
          <w:rFonts w:ascii="Times New Roman" w:eastAsia="Calibri" w:hAnsi="Times New Roman" w:cs="Times New Roman"/>
          <w:sz w:val="28"/>
          <w:szCs w:val="28"/>
        </w:rPr>
        <w:t>Водоснабжение.</w:t>
      </w:r>
      <w:r w:rsidRPr="0042058C">
        <w:rPr>
          <w:rFonts w:ascii="Times New Roman" w:eastAsia="Calibri" w:hAnsi="Times New Roman" w:cs="Times New Roman"/>
          <w:b/>
          <w:sz w:val="28"/>
          <w:szCs w:val="28"/>
        </w:rPr>
        <w:t xml:space="preserve"> </w:t>
      </w:r>
      <w:r w:rsidRPr="0042058C">
        <w:rPr>
          <w:rFonts w:ascii="Times New Roman" w:eastAsia="Calibri" w:hAnsi="Times New Roman" w:cs="Times New Roman"/>
          <w:sz w:val="28"/>
          <w:szCs w:val="28"/>
        </w:rPr>
        <w:t xml:space="preserve">Труновский муниципальный округ не располагает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достаточном количестве запасами пресных подземных вод для всех видов хозяйственной деятельности. Подземные воды в своем большинстве обладают повышенной и высокой минерализацией и используются для водопоя животных и технических нужд.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Источником водоснабжения населенных пунктов муниципального округа служат поверхностные воды Левой ветви Право-Егорлыкского канала. Вода канала в целом пригодна для использования в целях питьевого водоснабжения, но требует дополнительной очистки и обеззараживания.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Питьевым водоснабжением обеспечивается 100% подающейся населению муниципального округа питьевой воды, пропускная способность составляет – 29,4 тыс.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 xml:space="preserve">/сутки. Основным поставщиком услуг в сфере водоснабжения является филиал ГУП СК «Ставрополькрайводоканал»-«Западный» ПТП Труновское, водоснабжение села Подлесного - филиал ГУП СК «Ставрополькрайводоканал» - «Северный» ПТП Ипатовское.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ведении Труновского водоканала имеется 6 водозаборов, 13 насосных станций водопровода, 8 водоемов, 6 очистных сооружений водопровода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1 очистное сооружение канализации.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Снабжение потребителей водой питьевого качества осуществляется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из 2 групповых и 4 локальных водоводов. Общая протяженность обслуживаемых сетей водоснабжения составляет 432,8 км, а в с. Подлесном обслуживает Ипатовский водоканал, общая протяженность сетей – 12,8 км.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Общая отпускаемая мощность водопроводов составляет 18,25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 xml:space="preserve">/сут.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За 2020 год было отпущено 1255,62 тыс.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 xml:space="preserve"> из них населению 1166,72 тыс. м</w:t>
      </w:r>
      <w:r w:rsidRPr="0042058C">
        <w:rPr>
          <w:rFonts w:ascii="Times New Roman" w:eastAsia="Calibri" w:hAnsi="Times New Roman" w:cs="Times New Roman"/>
          <w:sz w:val="28"/>
          <w:szCs w:val="28"/>
          <w:vertAlign w:val="superscript"/>
        </w:rPr>
        <w:t xml:space="preserve">3 </w:t>
      </w:r>
      <w:r w:rsidRPr="0042058C">
        <w:rPr>
          <w:rFonts w:ascii="Times New Roman" w:eastAsia="Calibri" w:hAnsi="Times New Roman" w:cs="Times New Roman"/>
          <w:sz w:val="28"/>
          <w:szCs w:val="28"/>
        </w:rPr>
        <w:t>(или 92,9%), бюджето-финансируемым организациям – 32,01 тыс.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r w:rsidRPr="0042058C">
        <w:rPr>
          <w:rFonts w:ascii="Times New Roman" w:eastAsia="Calibri" w:hAnsi="Times New Roman" w:cs="Times New Roman"/>
          <w:sz w:val="28"/>
          <w:szCs w:val="28"/>
          <w:vertAlign w:val="superscript"/>
        </w:rPr>
        <w:footnoteReference w:id="80"/>
      </w:r>
      <w:r w:rsidRPr="0042058C">
        <w:rPr>
          <w:rFonts w:ascii="Times New Roman" w:eastAsia="Calibri" w:hAnsi="Times New Roman" w:cs="Times New Roman"/>
          <w:sz w:val="28"/>
          <w:szCs w:val="28"/>
        </w:rPr>
        <w:t xml:space="preserve">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муниципальном округе среднесуточный расход воды на 1 жителя составляет 108,9 л., что является 2 результатом среди всех муниципальных округов Ставропольского края, уступая лишь Апанасенковскому муниципальному округу. Краткая информация о состоянии уличной водопроводной сети в сравнении с соседними округами приводится ниже.</w:t>
      </w:r>
    </w:p>
    <w:p w:rsidR="0042058C" w:rsidRPr="0042058C" w:rsidRDefault="0042058C" w:rsidP="0042058C">
      <w:pPr>
        <w:keepNext/>
        <w:spacing w:after="0" w:line="240" w:lineRule="auto"/>
        <w:jc w:val="both"/>
        <w:rPr>
          <w:rFonts w:ascii="Times New Roman" w:eastAsia="Calibri" w:hAnsi="Times New Roman" w:cs="Times New Roman"/>
          <w:bCs/>
          <w:color w:val="262626"/>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E413C8">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0</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Состояние уличной водопроводной сети в Труновском муниципальном округе в сравнении с соседними муниципальными образованиями Ставропольского края</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803"/>
        <w:gridCol w:w="1672"/>
        <w:gridCol w:w="1674"/>
        <w:gridCol w:w="1672"/>
        <w:gridCol w:w="1647"/>
      </w:tblGrid>
      <w:tr w:rsidR="0042058C" w:rsidRPr="0042058C" w:rsidTr="0042058C">
        <w:trPr>
          <w:jc w:val="center"/>
        </w:trPr>
        <w:tc>
          <w:tcPr>
            <w:tcW w:w="1480" w:type="pct"/>
            <w:vMerge w:val="restart"/>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Наименование муниципального образования</w:t>
            </w:r>
          </w:p>
        </w:tc>
        <w:tc>
          <w:tcPr>
            <w:tcW w:w="1767" w:type="pct"/>
            <w:gridSpan w:val="2"/>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2019</w:t>
            </w:r>
          </w:p>
        </w:tc>
        <w:tc>
          <w:tcPr>
            <w:tcW w:w="1754" w:type="pct"/>
            <w:gridSpan w:val="2"/>
            <w:vAlign w:val="center"/>
          </w:tcPr>
          <w:p w:rsidR="0042058C" w:rsidRPr="0042058C" w:rsidRDefault="0042058C" w:rsidP="0042058C">
            <w:pPr>
              <w:spacing w:after="0" w:line="240" w:lineRule="auto"/>
              <w:jc w:val="center"/>
              <w:rPr>
                <w:rFonts w:ascii="Times New Roman" w:eastAsia="Calibri" w:hAnsi="Times New Roman" w:cs="Times New Roman"/>
                <w:lang w:val="en-US"/>
              </w:rPr>
            </w:pPr>
            <w:r w:rsidRPr="0042058C">
              <w:rPr>
                <w:rFonts w:ascii="Times New Roman" w:eastAsia="Calibri" w:hAnsi="Times New Roman" w:cs="Times New Roman"/>
              </w:rPr>
              <w:t>2020</w:t>
            </w:r>
          </w:p>
        </w:tc>
      </w:tr>
      <w:tr w:rsidR="0042058C" w:rsidRPr="0042058C" w:rsidTr="0042058C">
        <w:trPr>
          <w:jc w:val="center"/>
        </w:trPr>
        <w:tc>
          <w:tcPr>
            <w:tcW w:w="1480" w:type="pct"/>
            <w:vMerge/>
          </w:tcPr>
          <w:p w:rsidR="0042058C" w:rsidRPr="0042058C" w:rsidRDefault="0042058C" w:rsidP="0042058C">
            <w:pPr>
              <w:spacing w:after="0" w:line="240" w:lineRule="auto"/>
              <w:jc w:val="center"/>
              <w:rPr>
                <w:rFonts w:ascii="Times New Roman" w:eastAsia="Calibri" w:hAnsi="Times New Roman" w:cs="Times New Roman"/>
              </w:rPr>
            </w:pPr>
          </w:p>
        </w:tc>
        <w:tc>
          <w:tcPr>
            <w:tcW w:w="883" w:type="pct"/>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Всего</w:t>
            </w:r>
          </w:p>
        </w:tc>
        <w:tc>
          <w:tcPr>
            <w:tcW w:w="884" w:type="pct"/>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 xml:space="preserve">в т.ч. </w:t>
            </w:r>
          </w:p>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нуждающихся в замене</w:t>
            </w:r>
          </w:p>
        </w:tc>
        <w:tc>
          <w:tcPr>
            <w:tcW w:w="883" w:type="pct"/>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Всего</w:t>
            </w:r>
          </w:p>
        </w:tc>
        <w:tc>
          <w:tcPr>
            <w:tcW w:w="871" w:type="pct"/>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 xml:space="preserve">в т.ч. </w:t>
            </w:r>
          </w:p>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нуждающихся в замене</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Труновский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color w:val="000000"/>
              </w:rPr>
            </w:pPr>
            <w:r w:rsidRPr="0042058C">
              <w:rPr>
                <w:rFonts w:ascii="Times New Roman" w:eastAsia="Calibri" w:hAnsi="Times New Roman" w:cs="Times New Roman"/>
                <w:color w:val="000000"/>
              </w:rPr>
              <w:t>306.5</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color w:val="000000"/>
              </w:rPr>
            </w:pPr>
            <w:r w:rsidRPr="0042058C">
              <w:rPr>
                <w:rFonts w:ascii="Times New Roman" w:eastAsia="Calibri" w:hAnsi="Times New Roman" w:cs="Times New Roman"/>
                <w:color w:val="000000"/>
              </w:rPr>
              <w:t>23,8</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color w:val="000000"/>
                <w:lang w:val="en-US"/>
              </w:rPr>
            </w:pPr>
            <w:r w:rsidRPr="0042058C">
              <w:rPr>
                <w:rFonts w:ascii="Times New Roman" w:eastAsia="Calibri" w:hAnsi="Times New Roman" w:cs="Times New Roman"/>
                <w:color w:val="000000"/>
                <w:lang w:val="en-US"/>
              </w:rPr>
              <w:t>310.01</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color w:val="000000"/>
              </w:rPr>
            </w:pPr>
            <w:r w:rsidRPr="0042058C">
              <w:rPr>
                <w:rFonts w:ascii="Times New Roman" w:eastAsia="Calibri" w:hAnsi="Times New Roman" w:cs="Times New Roman"/>
                <w:color w:val="000000"/>
              </w:rPr>
              <w:t>23,8</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Грачевский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365.5</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301.7</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366.16</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301.2</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Красногвардейский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531.5</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99.8</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531.47</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95.0</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Шпаковский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323.4</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196.1</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324.55</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189.6</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Изобильненский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505.6</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209.8</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505.63</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209.5</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Ипатовский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785.6</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90.0</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785.60</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90.0</w:t>
            </w:r>
          </w:p>
        </w:tc>
      </w:tr>
      <w:tr w:rsidR="0042058C" w:rsidRPr="0042058C" w:rsidTr="0042058C">
        <w:trPr>
          <w:jc w:val="center"/>
        </w:trPr>
        <w:tc>
          <w:tcPr>
            <w:tcW w:w="1480" w:type="pct"/>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Петровский</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650.2</w:t>
            </w:r>
          </w:p>
        </w:tc>
        <w:tc>
          <w:tcPr>
            <w:tcW w:w="884"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213.5</w:t>
            </w:r>
          </w:p>
        </w:tc>
        <w:tc>
          <w:tcPr>
            <w:tcW w:w="883"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655.22</w:t>
            </w:r>
          </w:p>
        </w:tc>
        <w:tc>
          <w:tcPr>
            <w:tcW w:w="871" w:type="pct"/>
            <w:vAlign w:val="bottom"/>
          </w:tcPr>
          <w:p w:rsidR="0042058C" w:rsidRPr="0042058C" w:rsidRDefault="0042058C" w:rsidP="0042058C">
            <w:pPr>
              <w:spacing w:after="0" w:line="240" w:lineRule="auto"/>
              <w:jc w:val="right"/>
              <w:rPr>
                <w:rFonts w:ascii="Times New Roman" w:eastAsia="Calibri" w:hAnsi="Times New Roman" w:cs="Times New Roman"/>
              </w:rPr>
            </w:pPr>
            <w:r w:rsidRPr="0042058C">
              <w:rPr>
                <w:rFonts w:ascii="Times New Roman" w:eastAsia="Calibri" w:hAnsi="Times New Roman" w:cs="Times New Roman"/>
              </w:rPr>
              <w:t>223.9</w:t>
            </w:r>
          </w:p>
        </w:tc>
      </w:tr>
    </w:tbl>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Из приведенной таблицы видно, что состояние водопроводной сети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целом значительно лучше, чем в соседних муниципальных образованиях. Тем не менее, общий износ эксплуатации сетей водоснабжения составляет более 85%, в связи с этим в округе имеются потери при подаче (8-10%). Так, в инвестиционной программе ГУП СК «Ставрополькрайводоканал» в сфере холодного водоснабжения и водоотведения на 2020-2023 годы была отражена необходимость реконструкции ряда участков уличной водопроводной сети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 Труновском. Среди других не менее важных сложностей является замена основных водонапорных башен, и постепенная замена сетей в округе.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целом можно выделить следующее: округ обеспечивает все населенные пункты централизованным водоснабжением. Необходимо проводить ряд мероприятий по снижению потерь, и приведение данного показателя не более 10% в целом по округу. Также необходимо провести установление ЗСО от источников питьевого и хозяйственного водоснабжения в соответствии с СанПиН 2.1.4.1110-02 «Зоны санитарной охраны источников водоснабжения и водопроводов питьевого назначения».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Водоотведение.</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Система водоотведения Труновского муниципального округа развита слабо, как и во многих сельских поселениях Ставропольского края. Система водоотведения Труновского МО состоит из канализационной сети общей протяженностью 32,15 км, канализационных насосных станций, очистных сооружений. На территории округа расположено несколько объектов водоотведения, сведения о которых приводятся ниже. За 2020 год общая мощность очистных сооружений составляла 10 тыс.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 xml:space="preserve"> сут.,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 пропущено за год 104,94 тыс.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keepNext/>
        <w:spacing w:after="0" w:line="240" w:lineRule="auto"/>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Таблица </w:t>
      </w:r>
      <w:r w:rsidR="00E413C8">
        <w:rPr>
          <w:rFonts w:ascii="Times New Roman" w:eastAsia="Calibri" w:hAnsi="Times New Roman" w:cs="Times New Roman"/>
          <w:sz w:val="28"/>
          <w:szCs w:val="28"/>
        </w:rPr>
        <w:t>6</w:t>
      </w:r>
      <w:r w:rsidR="000528C2">
        <w:rPr>
          <w:rFonts w:ascii="Times New Roman" w:eastAsia="Calibri" w:hAnsi="Times New Roman" w:cs="Times New Roman"/>
          <w:sz w:val="28"/>
          <w:szCs w:val="28"/>
        </w:rPr>
        <w:t>1</w:t>
      </w:r>
    </w:p>
    <w:p w:rsidR="0042058C" w:rsidRPr="0042058C" w:rsidRDefault="0042058C" w:rsidP="0042058C">
      <w:pPr>
        <w:keepNext/>
        <w:spacing w:after="0" w:line="240" w:lineRule="auto"/>
        <w:jc w:val="center"/>
        <w:rPr>
          <w:rFonts w:ascii="Times New Roman" w:eastAsia="Calibri" w:hAnsi="Times New Roman" w:cs="Times New Roman"/>
          <w:sz w:val="28"/>
          <w:szCs w:val="28"/>
        </w:rPr>
      </w:pPr>
      <w:r w:rsidRPr="0042058C">
        <w:rPr>
          <w:rFonts w:ascii="Times New Roman" w:eastAsia="Calibri" w:hAnsi="Times New Roman" w:cs="Times New Roman"/>
          <w:sz w:val="28"/>
          <w:szCs w:val="28"/>
        </w:rPr>
        <w:t>Сведения об объектах водоотведения, расположенных на территории Труновского МО</w:t>
      </w:r>
    </w:p>
    <w:p w:rsidR="0042058C" w:rsidRPr="0042058C" w:rsidRDefault="0042058C" w:rsidP="0042058C">
      <w:pPr>
        <w:keepNext/>
        <w:spacing w:after="0" w:line="240" w:lineRule="auto"/>
        <w:jc w:val="center"/>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63"/>
        <w:gridCol w:w="1522"/>
        <w:gridCol w:w="1331"/>
        <w:gridCol w:w="4452"/>
      </w:tblGrid>
      <w:tr w:rsidR="0042058C" w:rsidRPr="0042058C" w:rsidTr="0042058C">
        <w:tc>
          <w:tcPr>
            <w:tcW w:w="1142"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lang w:eastAsia="ru-RU"/>
              </w:rPr>
            </w:pPr>
            <w:r w:rsidRPr="0042058C">
              <w:rPr>
                <w:rFonts w:ascii="Times New Roman" w:eastAsia="Calibri" w:hAnsi="Times New Roman" w:cs="Times New Roman"/>
                <w:color w:val="000000"/>
                <w:lang w:eastAsia="ru-RU"/>
              </w:rPr>
              <w:t>Наименование</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lang w:eastAsia="ru-RU"/>
              </w:rPr>
            </w:pPr>
            <w:r w:rsidRPr="0042058C">
              <w:rPr>
                <w:rFonts w:ascii="Times New Roman" w:eastAsia="Calibri" w:hAnsi="Times New Roman" w:cs="Times New Roman"/>
                <w:color w:val="000000"/>
                <w:lang w:eastAsia="ru-RU"/>
              </w:rPr>
              <w:t>Тип очистки</w:t>
            </w:r>
          </w:p>
        </w:tc>
        <w:tc>
          <w:tcPr>
            <w:tcW w:w="7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lang w:eastAsia="ru-RU"/>
              </w:rPr>
            </w:pPr>
            <w:r w:rsidRPr="0042058C">
              <w:rPr>
                <w:rFonts w:ascii="Times New Roman" w:eastAsia="Calibri" w:hAnsi="Times New Roman" w:cs="Times New Roman"/>
                <w:color w:val="000000"/>
                <w:lang w:eastAsia="ru-RU"/>
              </w:rPr>
              <w:t>Факт. пропускная способность м</w:t>
            </w:r>
            <w:r w:rsidRPr="0042058C">
              <w:rPr>
                <w:rFonts w:ascii="Times New Roman" w:eastAsia="Calibri" w:hAnsi="Times New Roman" w:cs="Times New Roman"/>
                <w:color w:val="000000"/>
                <w:vertAlign w:val="superscript"/>
                <w:lang w:eastAsia="ru-RU"/>
              </w:rPr>
              <w:t>3</w:t>
            </w:r>
            <w:r w:rsidRPr="0042058C">
              <w:rPr>
                <w:rFonts w:ascii="Times New Roman" w:eastAsia="Calibri" w:hAnsi="Times New Roman" w:cs="Times New Roman"/>
                <w:color w:val="000000"/>
                <w:lang w:eastAsia="ru-RU"/>
              </w:rPr>
              <w:t>/сутки</w:t>
            </w:r>
          </w:p>
        </w:tc>
        <w:tc>
          <w:tcPr>
            <w:tcW w:w="235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lang w:eastAsia="ru-RU"/>
              </w:rPr>
            </w:pPr>
            <w:r w:rsidRPr="0042058C">
              <w:rPr>
                <w:rFonts w:ascii="Times New Roman" w:eastAsia="Calibri" w:hAnsi="Times New Roman" w:cs="Times New Roman"/>
                <w:color w:val="000000"/>
                <w:lang w:eastAsia="ru-RU"/>
              </w:rPr>
              <w:t>Месторасположение</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водопровода                  с. Донское</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Медленные фильтры</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5000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Установлено относительно ориентира                   на территории СХП "Мелиоратор", расположенного в границах участка</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водопровода                     с. Труновское</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Медленные фильтры</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3000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Участок находится примерно в 3 км                       по направлению на северо-восток от ориентира с. Труновское, возле водоема отстойника, расположенного за пределами участка.</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водопровода</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Медленные фильтры</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1750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Участок находится примерно в 0,5 км                   по направлению на север от моста через Правоегорлыкский канал от ориентира              пос. Правоегорлыкский, расположенного за пределами участка.</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водопровода</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Скорые фильтры</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8000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х. Невдахин</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водопровода</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Скорые фильтры</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500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Участок находится примерно в 1,5 км по направлению на север от ориентира с. Новая Кугульта, расположенного за пределами участка.</w:t>
            </w:r>
          </w:p>
        </w:tc>
      </w:tr>
      <w:tr w:rsidR="0042058C" w:rsidRPr="0042058C" w:rsidTr="0042058C">
        <w:tc>
          <w:tcPr>
            <w:tcW w:w="11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Очистные сооружения канализации с. Донское</w:t>
            </w:r>
          </w:p>
        </w:tc>
        <w:tc>
          <w:tcPr>
            <w:tcW w:w="80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Биологическая очистка</w:t>
            </w:r>
          </w:p>
        </w:tc>
        <w:tc>
          <w:tcPr>
            <w:tcW w:w="70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5000</w:t>
            </w:r>
          </w:p>
        </w:tc>
        <w:tc>
          <w:tcPr>
            <w:tcW w:w="23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Установлено относительно ориентира 0,5 км на север от ул. Октябрьской, расположенного в границах участка.</w:t>
            </w:r>
          </w:p>
        </w:tc>
      </w:tr>
    </w:tbl>
    <w:p w:rsidR="0042058C" w:rsidRPr="0042058C" w:rsidRDefault="0042058C" w:rsidP="0042058C">
      <w:pPr>
        <w:spacing w:after="0"/>
        <w:ind w:firstLine="709"/>
        <w:jc w:val="both"/>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Уличная канализационная сеть Труновского МО имеет высоких износ сетей (более 85%). Система водоотведения представлена в с. Донском, остальные населенные пункты предусматривают локальные объекты водоотведения. Предусмотренные выгребные ямы, расположены при основных объектах социальной инфраструктуры, и имеются в каждом частном домовладении, при заполнении которых осуществляется вывоз. Выгребные ямы зачастую не имеют возможности откачки, вследствие чего биоматериалы инфильтруются в почву и являются источниками загрязнения подземных и поверхностных вод.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Современные объекты социальной инфраструктуры оборудованы современными септиками. В некоторых населенных пунктах имеются примитивные локальные системы водоотведения, принимающие стоки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отдельных зданий. Сточные воды сбрасываются либо напрямую,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рельеф и в водотоки, либо собираются в фильтрующие выгребные ямы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вывозятся ассенизационным транспортом. Краткая информация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состоянию системы водоотведения представлена ниже. В планах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развитию Труновского муниципального образования не стоит активное развитие системы водоотведения в сельских поселениях.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Анализ существующей системы водоотведения позволяет выделить следующее: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Система водоотведения находится в плохом состоянии. Централизованное водоотведение обеспечивает население, которое расположено в многоквартирных малоэтажных домах. Развитие данной системы в округе не предусмотрено, за исключением планируемых территорий малоэтажной многоквартирной застройки.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Для сокращения числа аварийных участков рекомендуется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Для снижения экологической нагрузки необходимо строительство системы канализации в местах её отсутствия. Осуществить роста степени очистки сточных вод посредством модернизации насосных станций первичной переработки.</w:t>
      </w:r>
    </w:p>
    <w:p w:rsidR="0042058C" w:rsidRPr="0042058C" w:rsidRDefault="0042058C" w:rsidP="0042058C">
      <w:pPr>
        <w:spacing w:after="0"/>
        <w:ind w:left="709"/>
        <w:jc w:val="both"/>
        <w:outlineLvl w:val="2"/>
        <w:rPr>
          <w:rFonts w:ascii="Times New Roman" w:eastAsia="Calibri" w:hAnsi="Times New Roman" w:cs="Times New Roman"/>
          <w:sz w:val="28"/>
          <w:szCs w:val="28"/>
        </w:rPr>
      </w:pPr>
      <w:bookmarkStart w:id="53" w:name="_Toc85173297"/>
      <w:r w:rsidRPr="0042058C">
        <w:rPr>
          <w:rFonts w:ascii="Times New Roman" w:eastAsia="Calibri" w:hAnsi="Times New Roman" w:cs="Times New Roman"/>
          <w:sz w:val="28"/>
          <w:szCs w:val="28"/>
        </w:rPr>
        <w:t>2</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Теплоснабжение</w:t>
      </w:r>
      <w:bookmarkEnd w:id="53"/>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Система теплоснабжения Труновского муниципального округа представлена централизованным и децентрализованным способом. Централизованное теплоснабжение обеспечивается ГУП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СК «Крайтеплоэнерго» для социальных объектов, и небольшого числа малоэтажных многоквартирных домов, расположенных в с. Донском. Всего на территории округа расположено 9 источников теплоснабжения, из них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8 мощностью до 3 Гкал/ч. Общее потребление за 2020 год составило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5,95 тыс.Гкал., из них: населению – 0,09 тыс.Гкал, предприятиях –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5,36 тыс.Гкал. Производительность локальных источников теплоснабжения составляет 13,74 Гкал/час. Износ оборудования в локальных системах достаточно высокий, это характерно для котельных введенных в период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конца 1980-х годов.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Основная часть жилой застройки представлена индивидуальными жилыми домами, они оснащены автономным теплоснабжением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от генераторов теплоты, обслуживаемых жильцами. Основной вид топлива – природный сетевой газ.</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Все котельные, расположенные на территории муниципального округа, оснащены приборами учета природного газа, электроснабжения,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холодному водоснабжению в полном объеме. Работают на природном газе, схема теплоснабжения закрытая.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Тепловые сети, расположенные на территории Труновского муниципального округа, являются государственной собственностью Ставропольского края, на территории округа переданы в хозяйственное ведение ГУП СК «Крайтеплоэнерго».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Способ прокладки сетей как подземный, так и надземный. Подземные тепловые сети проложены преимущественно в непроходных каналах. Тепловые сети выполнены в двухтрубном исполнении, преимущественно бесканальным путем. Протяженность тепловых и паровых сетей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двухтрубном исчислении составляет 9,87 км, из них 0,47 км требует реконструкции.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Разрушена и частично отсутствует тепловая изоляция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теплопроводах, тепловые потери составляют более 15% от полезного отпуска в год. Здания практически не утеплены, большинство подвалов находятся в неудовлетворительном состоянии (отсутствует надежная герметизация).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сегодня система теплоснабжения направлена на обеспечение объектов промышленности и социальной инфраструктуры, а также небольшой части населения в многоквартирных домах. Почти завершен переход на индивидуальное отопление с газовыми котельными в каждой квартире.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Вся планируемая жилая застройка должна учитывать существующее состояние сетей, и базироваться на индивидуальном отоплении строительство должно осуществлять с учетом существующего положения инженерных систем. В новых индивидуальных жилых домах и малоэтажной жилой застройке</w:t>
      </w:r>
      <w:r w:rsidRPr="0042058C">
        <w:rPr>
          <w:rFonts w:ascii="Times New Roman" w:eastAsia="Calibri" w:hAnsi="Times New Roman" w:cs="Times New Roman"/>
          <w:b/>
          <w:sz w:val="28"/>
          <w:szCs w:val="28"/>
        </w:rPr>
        <w:t xml:space="preserve"> </w:t>
      </w:r>
      <w:r w:rsidRPr="0042058C">
        <w:rPr>
          <w:rFonts w:ascii="Times New Roman" w:eastAsia="Calibri" w:hAnsi="Times New Roman" w:cs="Times New Roman"/>
          <w:sz w:val="28"/>
          <w:szCs w:val="28"/>
        </w:rPr>
        <w:t>необходимо предусмотреть индивидуальное отопление.</w:t>
      </w:r>
    </w:p>
    <w:p w:rsidR="0042058C" w:rsidRPr="0042058C" w:rsidRDefault="0042058C" w:rsidP="0042058C">
      <w:pPr>
        <w:spacing w:after="0"/>
        <w:ind w:left="709"/>
        <w:jc w:val="both"/>
        <w:outlineLvl w:val="2"/>
        <w:rPr>
          <w:rFonts w:ascii="Times New Roman" w:eastAsia="Calibri" w:hAnsi="Times New Roman" w:cs="Times New Roman"/>
          <w:sz w:val="28"/>
          <w:szCs w:val="28"/>
        </w:rPr>
      </w:pPr>
      <w:bookmarkStart w:id="54" w:name="_Toc85173298"/>
      <w:r w:rsidRPr="0042058C">
        <w:rPr>
          <w:rFonts w:ascii="Times New Roman" w:eastAsia="Calibri" w:hAnsi="Times New Roman" w:cs="Times New Roman"/>
          <w:sz w:val="28"/>
          <w:szCs w:val="28"/>
        </w:rPr>
        <w:t>3 Электроснабжение</w:t>
      </w:r>
      <w:bookmarkEnd w:id="54"/>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Электроснабжение Труновского муниципального округа осуществляется НЭС Филиала ПАО «Россети Северный Кавказ»-«Ставропольэнерго». Распределение электроэнергии потребителям Труновского муниципального округа осуществляется через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16 электроподстанций различных мощностей.</w:t>
      </w:r>
    </w:p>
    <w:p w:rsidR="00C952A3" w:rsidRDefault="00C952A3" w:rsidP="0042058C">
      <w:pPr>
        <w:keepNext/>
        <w:spacing w:after="0" w:line="240" w:lineRule="auto"/>
        <w:jc w:val="right"/>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E413C8">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2</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Характеристика электроподстанций, расположенные на территории Труновского муниципального округа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8"/>
        <w:gridCol w:w="4206"/>
        <w:gridCol w:w="2411"/>
        <w:gridCol w:w="2323"/>
      </w:tblGrid>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№п/п</w:t>
            </w:r>
          </w:p>
        </w:tc>
        <w:tc>
          <w:tcPr>
            <w:tcW w:w="222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Наименование ПС, место расположения</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Количество и установленная мощность трансформаторов, МВА</w:t>
            </w:r>
          </w:p>
        </w:tc>
        <w:tc>
          <w:tcPr>
            <w:tcW w:w="122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Балансовая принадлежность</w:t>
            </w:r>
          </w:p>
        </w:tc>
      </w:tr>
      <w:tr w:rsidR="0042058C" w:rsidRPr="0042058C" w:rsidTr="0042058C">
        <w:trPr>
          <w:trHeight w:val="58"/>
        </w:trPr>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110 кВ Донская – с. Донское ул. Строителей 83</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2х16</w:t>
            </w:r>
          </w:p>
        </w:tc>
        <w:tc>
          <w:tcPr>
            <w:tcW w:w="1227" w:type="pct"/>
            <w:vMerge w:val="restar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НЭС Филиала ПАО «Россети Северный Кавказ» – «Ставропольэнерго»</w:t>
            </w: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Труновская – с. Труновское, ул. Рабочая 2</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2х4</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3</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110 кВ Безопасная –с. Безопасное, 195 Б</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1х16,1х10</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4</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Кировская – пос. Кировский ул. Горького 26</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5</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Центральная – Центральная усадьба к- за Кировский ул. Новая 2</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6</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Правоегорлыкская - с. Донское</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7</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Подлесная – с. Подлесное</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8</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Мелиоратор – земли с-за Мелиоратор</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1х1,6</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9</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2 – земли с-за Донского</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10</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5 – земли Ипатовского ГО</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1х2,5,1х4</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11</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9 – земли с-за Мелиоратор</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12</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10 – земли с-за Ворошилова</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1х1,6</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13</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12 – земли с-за Ленина</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14</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13 – земли с-за Ворошилова</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1х2,5</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15</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14 – земли с-за Терновский</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1х1,6</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16</w:t>
            </w:r>
          </w:p>
        </w:tc>
        <w:tc>
          <w:tcPr>
            <w:tcW w:w="2221" w:type="pct"/>
            <w:shd w:val="clear" w:color="auto" w:fill="auto"/>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ПС 35 кВ Насосная № 16-земли с-за Труновский</w:t>
            </w:r>
          </w:p>
        </w:tc>
        <w:tc>
          <w:tcPr>
            <w:tcW w:w="127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lang w:eastAsia="ru-RU"/>
              </w:rPr>
            </w:pPr>
            <w:r w:rsidRPr="0042058C">
              <w:rPr>
                <w:rFonts w:ascii="Times New Roman" w:eastAsia="Calibri" w:hAnsi="Times New Roman" w:cs="Times New Roman"/>
                <w:color w:val="000000"/>
                <w:sz w:val="20"/>
                <w:szCs w:val="20"/>
                <w:lang w:eastAsia="ru-RU"/>
              </w:rPr>
              <w:t>2х1,6</w:t>
            </w:r>
          </w:p>
        </w:tc>
        <w:tc>
          <w:tcPr>
            <w:tcW w:w="1227" w:type="pct"/>
            <w:vMerge/>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lang w:eastAsia="ru-RU"/>
              </w:rPr>
            </w:pPr>
          </w:p>
        </w:tc>
      </w:tr>
    </w:tbl>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Согласно данным «Труновские районные электрические сети» потребление электроэнергии на 1 чел составляет 194,5 кВт. ч./год. Уличная электросеть изношена в целом на 50%, ведется работа по замене устаревших линий. Общая протяженность сетей электроснабжения составляет                  1202,64 км.</w:t>
      </w:r>
    </w:p>
    <w:p w:rsidR="0042058C" w:rsidRPr="0042058C" w:rsidRDefault="0042058C" w:rsidP="00301758">
      <w:pPr>
        <w:spacing w:after="160"/>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642D94A7" wp14:editId="43ACB178">
            <wp:extent cx="4986670" cy="5730949"/>
            <wp:effectExtent l="0" t="0" r="444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228" cy="5728142"/>
                    </a:xfrm>
                    <a:prstGeom prst="rect">
                      <a:avLst/>
                    </a:prstGeom>
                    <a:noFill/>
                  </pic:spPr>
                </pic:pic>
              </a:graphicData>
            </a:graphic>
          </wp:inline>
        </w:drawing>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 xml:space="preserve">Рисунок </w:t>
      </w:r>
      <w:r w:rsidRPr="0042058C">
        <w:rPr>
          <w:rFonts w:ascii="Times New Roman" w:eastAsia="Calibri" w:hAnsi="Times New Roman" w:cs="Times New Roman"/>
          <w:bCs/>
          <w:color w:val="262626"/>
          <w:sz w:val="28"/>
          <w:szCs w:val="28"/>
        </w:rPr>
        <w:fldChar w:fldCharType="begin"/>
      </w:r>
      <w:r w:rsidRPr="0042058C">
        <w:rPr>
          <w:rFonts w:ascii="Times New Roman" w:eastAsia="Calibri" w:hAnsi="Times New Roman" w:cs="Times New Roman"/>
          <w:bCs/>
          <w:color w:val="262626"/>
          <w:sz w:val="28"/>
          <w:szCs w:val="28"/>
        </w:rPr>
        <w:instrText xml:space="preserve"> SEQ Рисунок \* ARABIC </w:instrText>
      </w:r>
      <w:r w:rsidRPr="0042058C">
        <w:rPr>
          <w:rFonts w:ascii="Times New Roman" w:eastAsia="Calibri" w:hAnsi="Times New Roman" w:cs="Times New Roman"/>
          <w:bCs/>
          <w:color w:val="262626"/>
          <w:sz w:val="28"/>
          <w:szCs w:val="28"/>
        </w:rPr>
        <w:fldChar w:fldCharType="separate"/>
      </w:r>
      <w:r w:rsidR="00AC7BDA">
        <w:rPr>
          <w:rFonts w:ascii="Times New Roman" w:eastAsia="Calibri" w:hAnsi="Times New Roman" w:cs="Times New Roman"/>
          <w:bCs/>
          <w:noProof/>
          <w:color w:val="262626"/>
          <w:sz w:val="28"/>
          <w:szCs w:val="28"/>
        </w:rPr>
        <w:t>3</w:t>
      </w:r>
      <w:r w:rsidRPr="0042058C">
        <w:rPr>
          <w:rFonts w:ascii="Times New Roman" w:eastAsia="Calibri" w:hAnsi="Times New Roman" w:cs="Times New Roman"/>
          <w:bCs/>
          <w:noProof/>
          <w:color w:val="262626"/>
          <w:sz w:val="28"/>
          <w:szCs w:val="28"/>
        </w:rPr>
        <w:fldChar w:fldCharType="end"/>
      </w:r>
    </w:p>
    <w:p w:rsidR="0042058C" w:rsidRPr="0042058C" w:rsidRDefault="0042058C" w:rsidP="0042058C">
      <w:pPr>
        <w:keepNext/>
        <w:spacing w:after="0" w:line="240" w:lineRule="auto"/>
        <w:jc w:val="both"/>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Система «Зеленой энергетики» Труновского муниципального округа</w:t>
      </w:r>
    </w:p>
    <w:p w:rsidR="0042058C" w:rsidRPr="0042058C" w:rsidRDefault="0042058C" w:rsidP="0042058C">
      <w:pPr>
        <w:shd w:val="clear" w:color="auto" w:fill="FFFFFF"/>
        <w:spacing w:after="0"/>
        <w:ind w:firstLine="709"/>
        <w:jc w:val="both"/>
        <w:rPr>
          <w:rFonts w:ascii="Arial" w:eastAsia="Calibri" w:hAnsi="Arial" w:cs="Arial"/>
          <w:b/>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Развитие системы электроснабжения в Труновском муниципальном округе осуществляется как за счет расширения сети в новых жилых кварталах, так и за счет альтернативных источников энергии. Данный источник энергии представлен Медвеженской ВЭС. Установленная мощность ветропарка составит 60 МВт. На площадке будет установлено             24 ветроустановки мощностью 2,5 МВт каждая. Плановая среднегодовая выработка энергии - 171 млн кВт*ч. Реализация данного проекта началась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начале 2021 года.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Реализация данных проектов позволит изменить существующий баланс электроэнергии в пользу возобновляемой. Дальнейший избыток электроэнергии будет передаваться в соседние округа. При размещении объектов электроэнергии необходимо учитывать Постановление Правительства Российской Федерации от 24 февраля 2009 г. № 160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границах таких зон». Охранные зоны вдоль воздушных линий электропередачи составляют: 750 кВ – 40 м, 500 и 330 кВ – 30 м, 220 кВ –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25 м, 35 кВ – 15 м, 6 кВ – 10 м по обе стороны линии от крайних проводов при не отклонённом их положении.</w:t>
      </w:r>
    </w:p>
    <w:p w:rsidR="0042058C" w:rsidRPr="0042058C" w:rsidRDefault="0042058C" w:rsidP="0042058C">
      <w:pPr>
        <w:shd w:val="clear" w:color="auto" w:fill="FFFFFF"/>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Система электроснабжения обеспечивает все населенные пункты муниципального округа и находится в удовлетворительном состоянии. Сети изношены менее чем на 50%. Планируемые объекты альтернативных источников энергии позволят снизить долю природного газа в производстве электроэнергии. Полученный избыток пойдет на удовлетворение потребности в электроэнергии соседних округов.</w:t>
      </w:r>
    </w:p>
    <w:p w:rsidR="0042058C" w:rsidRPr="0042058C" w:rsidRDefault="0042058C" w:rsidP="0042058C">
      <w:pPr>
        <w:widowControl w:val="0"/>
        <w:autoSpaceDE w:val="0"/>
        <w:autoSpaceDN w:val="0"/>
        <w:adjustRightInd w:val="0"/>
        <w:spacing w:after="0"/>
        <w:ind w:left="709"/>
        <w:jc w:val="both"/>
        <w:outlineLvl w:val="2"/>
        <w:rPr>
          <w:rFonts w:ascii="Times New Roman" w:eastAsia="Calibri" w:hAnsi="Times New Roman" w:cs="Times New Roman"/>
          <w:sz w:val="28"/>
          <w:szCs w:val="28"/>
        </w:rPr>
      </w:pPr>
      <w:bookmarkStart w:id="55" w:name="_Toc85173299"/>
      <w:r w:rsidRPr="0042058C">
        <w:rPr>
          <w:rFonts w:ascii="Times New Roman" w:eastAsia="Calibri" w:hAnsi="Times New Roman" w:cs="Times New Roman"/>
          <w:sz w:val="28"/>
          <w:szCs w:val="28"/>
        </w:rPr>
        <w:t>4</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Газоснабжение</w:t>
      </w:r>
      <w:bookmarkEnd w:id="55"/>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Газоснабжение Труновского муниципального осуществляется природным и сжиженным газом. Обслуживанием округа занимается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АО «Труновскрайгаз» обслуживает 595,79 км сетей, диаметр труб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510 мм газопроводов, а также 12 089 квартир и 354 предприятия. Населённые пункты, расположенные в границах Труновского муниципального округа газифицированы на 97,6%. Газ расходуется населением на приготовление пищи, отопление и частично горячее водоснабжение. Кроме того,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газопроводам высокого и среднего давления газ поступает на котельные, сельскохозяйственные и коммунально-бытовые объекты.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Обеспечение жителей округа осуществляется через 8 ГРС, расположенных в пределах округа. Согласно данным АО «Труновскрайгаз»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 Донском за 2020 год было потреблено 33,57 млн. куб. м/год. Протяженность уличной газовой сети в округе составляет 481,4 км. Сводная информация о ГРС приводится ниже.</w:t>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E413C8">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3</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Характеристика ГРС, расположенных на территории Труновского МО</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885"/>
        <w:gridCol w:w="1232"/>
        <w:gridCol w:w="1223"/>
        <w:gridCol w:w="1430"/>
        <w:gridCol w:w="1431"/>
      </w:tblGrid>
      <w:tr w:rsidR="0042058C" w:rsidRPr="0042058C" w:rsidTr="0042058C">
        <w:tc>
          <w:tcPr>
            <w:tcW w:w="124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Газораспределительная станция</w:t>
            </w:r>
          </w:p>
        </w:tc>
        <w:tc>
          <w:tcPr>
            <w:tcW w:w="96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Населенные пункты</w:t>
            </w:r>
          </w:p>
        </w:tc>
        <w:tc>
          <w:tcPr>
            <w:tcW w:w="64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Проектная мощность ГРС тыс.м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/час</w:t>
            </w:r>
          </w:p>
        </w:tc>
        <w:tc>
          <w:tcPr>
            <w:tcW w:w="642"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Загрузка ГРС тыс.м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/час</w:t>
            </w:r>
          </w:p>
        </w:tc>
        <w:tc>
          <w:tcPr>
            <w:tcW w:w="750"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Наличие пропускной способности ГРС тыс.м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/час</w:t>
            </w:r>
          </w:p>
        </w:tc>
        <w:tc>
          <w:tcPr>
            <w:tcW w:w="75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Наличие (дефицит) пропускной способности ГРС тыс.м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/час</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Кирова</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Кирова</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2,75</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1,721</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4,00</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2,60</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1,400</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х. Мелиоратор,             х. Самбуров</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6,08</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0,054</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3,871</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Ключевское, выход          на с. Ключевское</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Ключевское</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0,20</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0,800</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Ключевское, выход             на с. Петропавловское,    с. Казинка</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с.Петропавловское, с. Казинка</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1,75</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1,50</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0,25</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2,81</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7,190</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 Веселый,                    с. Подлесное,             с. Н. Кугульта</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2,75</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1,70</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1,055</w:t>
            </w:r>
          </w:p>
        </w:tc>
      </w:tr>
      <w:tr w:rsidR="0042058C" w:rsidRPr="0042058C" w:rsidTr="0042058C">
        <w:tc>
          <w:tcPr>
            <w:tcW w:w="124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 Стрельников</w:t>
            </w:r>
          </w:p>
        </w:tc>
        <w:tc>
          <w:tcPr>
            <w:tcW w:w="96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 Стрельников</w:t>
            </w:r>
          </w:p>
        </w:tc>
        <w:tc>
          <w:tcPr>
            <w:tcW w:w="647"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64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10,000</w:t>
            </w:r>
          </w:p>
        </w:tc>
      </w:tr>
    </w:tbl>
    <w:p w:rsidR="0042058C" w:rsidRPr="0042058C" w:rsidRDefault="0042058C" w:rsidP="0042058C">
      <w:pPr>
        <w:spacing w:after="0"/>
        <w:ind w:firstLine="709"/>
        <w:jc w:val="both"/>
        <w:rPr>
          <w:rFonts w:ascii="Times New Roman" w:eastAsia="Calibri" w:hAnsi="Times New Roman" w:cs="Times New Roman"/>
          <w:noProof/>
          <w:lang w:eastAsia="ru-RU"/>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От ГРС проложены межпоселковые газопроводы среднего и низкого давлений до ГРП населенных пунктов. Уличная газовая сеть в сельских поселениях разная, краткая информация о протяженности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территориальным управлениям приводится ниже.</w:t>
      </w:r>
    </w:p>
    <w:p w:rsidR="0042058C" w:rsidRPr="0042058C" w:rsidRDefault="0042058C" w:rsidP="0042058C">
      <w:pPr>
        <w:tabs>
          <w:tab w:val="left" w:pos="6675"/>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E413C8">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4</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Протяженность уличной газовой сети Труновского муниципального округа </w:t>
      </w:r>
      <w:r w:rsidR="00301758">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в разрезе территориальных управлений в период с 2016 по 2020 гг.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967"/>
        <w:gridCol w:w="967"/>
        <w:gridCol w:w="967"/>
        <w:gridCol w:w="967"/>
        <w:gridCol w:w="967"/>
      </w:tblGrid>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территориального управления</w:t>
            </w:r>
          </w:p>
        </w:tc>
        <w:tc>
          <w:tcPr>
            <w:tcW w:w="50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2016</w:t>
            </w:r>
          </w:p>
        </w:tc>
        <w:tc>
          <w:tcPr>
            <w:tcW w:w="50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2017</w:t>
            </w:r>
          </w:p>
        </w:tc>
        <w:tc>
          <w:tcPr>
            <w:tcW w:w="50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2018</w:t>
            </w:r>
          </w:p>
        </w:tc>
        <w:tc>
          <w:tcPr>
            <w:tcW w:w="50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2019</w:t>
            </w:r>
          </w:p>
        </w:tc>
        <w:tc>
          <w:tcPr>
            <w:tcW w:w="50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2020</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85957</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103740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103740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88944</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88940</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233420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238180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238490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184547</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184690</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 Кирова</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21100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64590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64590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61783</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61790</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5900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9320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9320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9091</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9091</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39800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39500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39500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35402</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39500</w:t>
            </w:r>
          </w:p>
        </w:tc>
      </w:tr>
      <w:tr w:rsidR="0042058C" w:rsidRPr="0042058C" w:rsidTr="0042058C">
        <w:trPr>
          <w:trHeight w:val="20"/>
        </w:trPr>
        <w:tc>
          <w:tcPr>
            <w:tcW w:w="247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Труновском</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104399</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123190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123190</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101532</w:t>
            </w:r>
          </w:p>
        </w:tc>
        <w:tc>
          <w:tcPr>
            <w:tcW w:w="50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101320</w:t>
            </w:r>
          </w:p>
        </w:tc>
      </w:tr>
    </w:tbl>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Исходя из полученных сведений Федеральной службы государственной статистики, отчетливо наблюдался рост протяженности сетей с 2016 года во всех территориальных управлениях, за исключением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ТУ с. Подлесного.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Аварийных участков на газопроводах нет. Ведется постоянное обслуживание и контроль над состоянием системы газопроводов, сооружений и технических устройств на них.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первую очередь и расчетный срок необходимо достичь показателя</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 в 100% обеспеченности газом населения. При необходимости проводить реконструкцию газопроводов среднего и низкого давления. Обеспечить подключение газом ведущих инвестиционных проектов, и размещение новых систем газоснабжения в планируемых инвестиционных площадках.</w:t>
      </w:r>
    </w:p>
    <w:p w:rsidR="0042058C" w:rsidRPr="0042058C" w:rsidRDefault="0042058C" w:rsidP="0042058C">
      <w:pPr>
        <w:spacing w:after="0"/>
        <w:ind w:left="709"/>
        <w:jc w:val="both"/>
        <w:outlineLvl w:val="1"/>
        <w:rPr>
          <w:rFonts w:ascii="Times New Roman" w:eastAsia="Calibri" w:hAnsi="Times New Roman" w:cs="Times New Roman"/>
          <w:sz w:val="28"/>
          <w:szCs w:val="28"/>
        </w:rPr>
      </w:pPr>
      <w:bookmarkStart w:id="56" w:name="_Toc85173300"/>
      <w:r w:rsidRPr="0042058C">
        <w:rPr>
          <w:rFonts w:ascii="Times New Roman" w:eastAsia="Calibri" w:hAnsi="Times New Roman" w:cs="Times New Roman"/>
          <w:sz w:val="28"/>
          <w:szCs w:val="28"/>
        </w:rPr>
        <w:t>14. Экологическое состояние территории</w:t>
      </w:r>
      <w:bookmarkEnd w:id="56"/>
      <w:r w:rsidRPr="0042058C">
        <w:rPr>
          <w:rFonts w:ascii="Times New Roman" w:eastAsia="Calibri" w:hAnsi="Times New Roman" w:cs="Times New Roman"/>
          <w:sz w:val="28"/>
          <w:szCs w:val="28"/>
        </w:rPr>
        <w:t>.</w:t>
      </w:r>
    </w:p>
    <w:p w:rsidR="0042058C" w:rsidRPr="0042058C" w:rsidRDefault="0042058C" w:rsidP="0042058C">
      <w:pPr>
        <w:spacing w:after="0"/>
        <w:ind w:left="709"/>
        <w:jc w:val="both"/>
        <w:outlineLvl w:val="2"/>
        <w:rPr>
          <w:rFonts w:ascii="Times New Roman" w:eastAsia="Calibri" w:hAnsi="Times New Roman" w:cs="Times New Roman"/>
          <w:color w:val="404040"/>
          <w:sz w:val="24"/>
          <w:szCs w:val="24"/>
        </w:rPr>
      </w:pPr>
      <w:bookmarkStart w:id="57" w:name="_Toc85173301"/>
      <w:r w:rsidRPr="0042058C">
        <w:rPr>
          <w:rFonts w:ascii="Times New Roman" w:eastAsia="Calibri" w:hAnsi="Times New Roman" w:cs="Times New Roman"/>
          <w:sz w:val="28"/>
          <w:szCs w:val="28"/>
        </w:rPr>
        <w:t>1</w:t>
      </w:r>
      <w:r w:rsidR="00E413C8">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Атмосферный воздух</w:t>
      </w:r>
      <w:bookmarkEnd w:id="57"/>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Качество атмосферного воздуха может положительно и отрицательно влиять на состояние здоровья жителей округа. Оценить его качество позволяют регулярные исследования его состояния.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Контроль качества атмосферного воздуха на территории Труновского муниципального округа проводится в рамках социально-гигиенического мониторинга силами лаборатории филиала ФБУЗ «Центр гигиены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эпидемиологии в Ставропольском крае в Изобильненском городском округе». Исследования проводятся периодичностью раз в квартал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нескольких контрольных точках. Основные загрязнители, по которым проводятся лабораторные исследования воздуха это – окислы азота, оксид углерода, пыль неорганическая с содержанием SiO &gt;70%. По результатам анализа атмосферного воздуха, проводимого Ставропольским центром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гидрометеорологии и мониторингу окружающей среды, за последние пять лет уровень загрязнения атмосферного воздуха характеризуется как низкий.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Согласно графику, утвержденному Министерством природных ресурсов и охраны окружающей среды Ставропольского края, также ГБУ СК Ставропольский ЦГЭМ выполняет отборы проб и анализ атмосферного воздуха с помощью передвижного экологического поста (ПЭП-1-1-М № 116) на базе а/м Ford Transit. В состав измерительного комплекса передвижной лаборатории входят автоматические газоанализаторы, метеокомплекс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хроматографический комплекс, отбор проб воды и почвы.</w:t>
      </w:r>
    </w:p>
    <w:p w:rsidR="0042058C" w:rsidRPr="0042058C" w:rsidRDefault="0042058C" w:rsidP="0042058C">
      <w:pPr>
        <w:spacing w:after="0"/>
        <w:ind w:firstLine="709"/>
        <w:jc w:val="both"/>
        <w:rPr>
          <w:rFonts w:ascii="Times New Roman" w:eastAsia="Calibri" w:hAnsi="Times New Roman" w:cs="Times New Roman"/>
          <w:b/>
          <w:sz w:val="28"/>
          <w:szCs w:val="28"/>
        </w:rPr>
      </w:pPr>
      <w:r w:rsidRPr="0042058C">
        <w:rPr>
          <w:rFonts w:ascii="Times New Roman" w:eastAsia="Calibri" w:hAnsi="Times New Roman" w:cs="Times New Roman"/>
          <w:sz w:val="28"/>
          <w:szCs w:val="28"/>
        </w:rPr>
        <w:t>Промышленных загрязнителей воздуха на территории Труновского муниципального округа нет. Населения, проживающего в границах санитарно-защитной зоны предприятий, нет. Стационарным источником атмосферного загрязнения выступают котельные, требующие модернизации. Проблема загрязнения воздуха автомобильным транспортом остается наиболее значимой.</w:t>
      </w:r>
      <w:r w:rsidRPr="0042058C">
        <w:rPr>
          <w:rFonts w:ascii="Times New Roman" w:eastAsia="Calibri" w:hAnsi="Times New Roman" w:cs="Times New Roman"/>
          <w:b/>
          <w:sz w:val="28"/>
          <w:szCs w:val="28"/>
        </w:rPr>
        <w:t xml:space="preserve">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Регулярные исследования позволяют следить за состоянием воздуха Труновского муниципального округа и не допускать изменений показателей в отрицательную сторону. Проблема загрязнения атмосферного воздуха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округе не стоит остро.</w:t>
      </w:r>
    </w:p>
    <w:p w:rsidR="0042058C" w:rsidRPr="0042058C" w:rsidRDefault="00F62636" w:rsidP="0042058C">
      <w:pPr>
        <w:spacing w:after="0"/>
        <w:ind w:left="709"/>
        <w:jc w:val="both"/>
        <w:outlineLvl w:val="2"/>
        <w:rPr>
          <w:rFonts w:ascii="Times New Roman" w:eastAsia="Calibri" w:hAnsi="Times New Roman" w:cs="Times New Roman"/>
          <w:sz w:val="28"/>
          <w:szCs w:val="28"/>
        </w:rPr>
      </w:pPr>
      <w:bookmarkStart w:id="58" w:name="_Toc85173302"/>
      <w:r>
        <w:rPr>
          <w:rFonts w:ascii="Times New Roman" w:eastAsia="Calibri" w:hAnsi="Times New Roman" w:cs="Times New Roman"/>
          <w:sz w:val="28"/>
          <w:szCs w:val="28"/>
        </w:rPr>
        <w:t>2)</w:t>
      </w:r>
      <w:r w:rsidR="0042058C" w:rsidRPr="0042058C">
        <w:rPr>
          <w:rFonts w:ascii="Times New Roman" w:eastAsia="Calibri" w:hAnsi="Times New Roman" w:cs="Times New Roman"/>
          <w:sz w:val="28"/>
          <w:szCs w:val="28"/>
        </w:rPr>
        <w:t xml:space="preserve"> Водный бассейн</w:t>
      </w:r>
      <w:bookmarkEnd w:id="58"/>
      <w:r w:rsidR="0042058C"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Муниципальный округ обеспечен поверхностными и подземными водами. Наиболее значимые водные объекты – реки Егорлык, Малая Кугульта и Правоегорлыкский канал. Также на территории округа есть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другие водные объекты: реки Большая Кугульта, Каменка, Тугулук, Ташла, Терновка, Терновочка, озера Лиман и Вшивка.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Самая крупная река округа – Егорлык, впадающая в Пролетарское водохранилище.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Согласно докладу о состоянии окружающей среды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природопользовании в Ставропольском крае в 2020 году государственная наблюдательная сеть Федеральной службы по гидрометеорологии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мониторингу окружающей среды на территории края представлена гидрохимическими створами в том числе и на водохранилище Пролетарском.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Отбор проб осуществлялся 6 раз в основные гидрологические режимы рек. Анализ проб воды выполнялся на содержание вредных веществ: температура, прозрачность, запах, взвешенные вещества, цветность, водородный показатель, растворенный кислород, хлориды, сульфаты, гидрокарбонаты, кальций, магний, жесткость, сумма ионов (натрий+калий), бихроматная окисляемость, азот аммонийный, азот нитратный, азот нитритный, биохимическое потребление кислорода, фосфаты, железо общее, кремний, фенолы летучие, нефтепродукты, синтетические поверхностно активные вещества (СПАВ), медь, цинк, сульфиды, сероводород. Случаев высокого загрязнения (ВЗ) и экстремально высокого загрязнения (ЭВЗ)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2020 году не зафиксировано.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Наблюдения за качеством вод поверхностных водных объектов проводились ГБУ СК «Ставропольский центр государственного экологического мониторинга» в рамках выполнения государственной программы Ставропольского края «Охрана окружающей среды».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Егорлыкском водохранилище (створ 4–11), после разбавления естественного стока кубанской водой, общая минерализация воды (сухой остаток) в 2020 году менялась от 146 до 305 мг/дм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 xml:space="preserve">, в среднем составив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242 мг/дм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 данным аналитического контроля, в этом створе в осенний период дважды отмечалось наличие в воде железа, концентрация которого соответствовала 2,0 и 1,3 ПДК. Отмечались три случая загрязнения воды марганцем (до 3,1 ПДК). В среднем по году – концентрация марганца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пределах 2,25 ПДК, что соответствует среднему уровню загрязненности.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Содержание остальных контролируемых показателей в основном соответствовало нормативам рыбохозяйственного водопользования.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целом в 2020 г. качество воды Егорлыкского водохранилища оценивается III классом, «умеренно загрязненная», индекс загрязненности воды (ИЗВ) = 1,08. По сравнению с 2019 г. среднегодовая концентрация железа снизилась в 6,5 раза, а БПК</w:t>
      </w:r>
      <w:r w:rsidRPr="0042058C">
        <w:rPr>
          <w:rFonts w:ascii="Times New Roman" w:eastAsia="Calibri" w:hAnsi="Times New Roman" w:cs="Times New Roman"/>
          <w:sz w:val="28"/>
          <w:szCs w:val="28"/>
          <w:vertAlign w:val="subscript"/>
        </w:rPr>
        <w:t>5</w:t>
      </w:r>
      <w:r w:rsidRPr="0042058C">
        <w:rPr>
          <w:rFonts w:ascii="Times New Roman" w:eastAsia="Calibri" w:hAnsi="Times New Roman" w:cs="Times New Roman"/>
          <w:sz w:val="28"/>
          <w:szCs w:val="28"/>
        </w:rPr>
        <w:t xml:space="preserve"> и марганца увеличилась среднем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3,4 и 9 раз соответственно. В соответствии с РД 52.24.643-2002 вода характеризовалась как «слабо загрязненная», 2-й класс, удельно комбинаторный индекс загрязненности (УКИЗВ) = 1,74.</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Состояние качества вод водохранилища «Пролетарское» изменилось </w:t>
      </w:r>
      <w:r w:rsidR="0030175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сравнении с 2019 годом. Зафиксировано 12 случаев ЭВЗ и 12 случаев ВЗ:</w:t>
      </w:r>
    </w:p>
    <w:p w:rsidR="0042058C" w:rsidRPr="0042058C" w:rsidRDefault="0042058C" w:rsidP="00301758">
      <w:pPr>
        <w:tabs>
          <w:tab w:val="left" w:pos="993"/>
        </w:tabs>
        <w:spacing w:after="0" w:line="240" w:lineRule="auto"/>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ЭВЗ – сульфаты, хлориды, магний, сумма ионов;</w:t>
      </w:r>
    </w:p>
    <w:p w:rsidR="0042058C" w:rsidRPr="0042058C" w:rsidRDefault="0042058C" w:rsidP="00301758">
      <w:pPr>
        <w:tabs>
          <w:tab w:val="left" w:pos="993"/>
        </w:tabs>
        <w:spacing w:after="0" w:line="240" w:lineRule="auto"/>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ВЗ – хлориды, магний, сумма ионов.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Загрязнения в водохранилище связаны с высокой природной минерализацией почвы и воды.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2020 г. по сравнению с 2019 г. увеличилась среднегодовая концентрация по сульфатам, магнию, сумме ионов, ХПК, нефтепродуктам, азоту нитритному, азоту нитратному. Уменьшились среднегодовые концентрации по СПАВ, азоту аммонийному и цинку. По остальным ингредиентам ситуация стабильна. Кислородный режим в течение года удовлетворительный.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Также в 2020 г. из поверхностных водных объектов в крае осуществляется забор воды на хозяйственно-питьевые нужды для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73 водопроводов из 87 водоисточников. Контроль качества воды таких водоисточников осуществлялся на 78 постоянных контрольных створах.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2020 г. на них исследовано 373 пробы воды по санитарно-химическим показателям, из которых 2 пробы не отвечали санитарно-гигиеническим требованиям (0,5%). По микробиологическим показателям исследовано 531 проба, из которых 39 проб не отвечали нормативным требованиям – 7,3%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2019 г. – 12,2%). По паразитологическим показателям исследовано 708 проб (в 2019 г. – 519 проб). По радиологическим показателям исследовано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60 проб воды водоисточников. Все исследованные пробы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паразитологическим и радиологическим показателям отвечали санитарным требованиям.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Таким образом, качество водных ресурсов Труновского муниципального округа можно оценить как удовлетворительное. Произошли изменения выявляемых в результате мониторинга показателей в сравнении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2019 годом в худшую сторону. Качество воды ухудшается, в основном,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из-за антропогенной нагрузки, но также и в силу природных явлений.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целях своевременного предупреждения загрязнения вод муниципального округа следует проводить мероприятия по выявлению источников загрязнения и незамедлительно устранять возникающие неполадки при очистке воды.</w:t>
      </w:r>
    </w:p>
    <w:p w:rsidR="0042058C" w:rsidRPr="0042058C" w:rsidRDefault="0042058C" w:rsidP="0042058C">
      <w:pPr>
        <w:widowControl w:val="0"/>
        <w:autoSpaceDE w:val="0"/>
        <w:autoSpaceDN w:val="0"/>
        <w:adjustRightInd w:val="0"/>
        <w:spacing w:after="0"/>
        <w:ind w:left="567"/>
        <w:jc w:val="both"/>
        <w:outlineLvl w:val="2"/>
        <w:rPr>
          <w:rFonts w:ascii="Times New Roman" w:eastAsia="Calibri" w:hAnsi="Times New Roman" w:cs="Times New Roman"/>
          <w:sz w:val="28"/>
          <w:szCs w:val="28"/>
        </w:rPr>
      </w:pPr>
      <w:r w:rsidRPr="0042058C">
        <w:rPr>
          <w:rFonts w:ascii="Times New Roman" w:eastAsia="Times New Roman" w:hAnsi="Times New Roman" w:cs="Times New Roman"/>
          <w:noProof/>
          <w:sz w:val="28"/>
          <w:szCs w:val="28"/>
          <w:lang w:eastAsia="ru-RU"/>
        </w:rPr>
        <w:tab/>
      </w:r>
      <w:bookmarkStart w:id="59" w:name="_Toc85173303"/>
      <w:r w:rsidRPr="0042058C">
        <w:rPr>
          <w:rFonts w:ascii="Times New Roman" w:eastAsia="Calibri" w:hAnsi="Times New Roman" w:cs="Times New Roman"/>
          <w:sz w:val="28"/>
          <w:szCs w:val="28"/>
        </w:rPr>
        <w:t>3</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Почвенный покров</w:t>
      </w:r>
      <w:bookmarkEnd w:id="59"/>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lang w:bidi="ru-RU"/>
        </w:rPr>
        <w:t xml:space="preserve">Почвенный покров Труновского муниципального округа разнообразен и отличается относительной однородностью. Распространены </w:t>
      </w:r>
      <w:r w:rsidRPr="0042058C">
        <w:rPr>
          <w:rFonts w:ascii="Times New Roman" w:eastAsia="Calibri" w:hAnsi="Times New Roman" w:cs="Times New Roman"/>
          <w:sz w:val="28"/>
          <w:szCs w:val="28"/>
        </w:rPr>
        <w:t>черноземы, песчано-глинистые и солонцевато-глинистые почвы.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Почвообразующими породами на территории </w:t>
      </w:r>
      <w:r w:rsidRPr="0042058C">
        <w:rPr>
          <w:rFonts w:ascii="Times New Roman" w:eastAsia="Calibri" w:hAnsi="Times New Roman" w:cs="Times New Roman"/>
          <w:sz w:val="28"/>
          <w:szCs w:val="28"/>
          <w:lang w:bidi="ru-RU"/>
        </w:rPr>
        <w:t xml:space="preserve">муниципального округа </w:t>
      </w:r>
      <w:r w:rsidRPr="0042058C">
        <w:rPr>
          <w:rFonts w:ascii="Times New Roman" w:eastAsia="Calibri" w:hAnsi="Times New Roman" w:cs="Times New Roman"/>
          <w:sz w:val="28"/>
          <w:szCs w:val="28"/>
        </w:rPr>
        <w:t>являются рыхлые осадочные отложения четвертичного периода. Юго-восточная и юго-западная части района заняты элювиальными отложениями, северная – различными суглинками.</w:t>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lang w:bidi="ru-RU"/>
        </w:rPr>
        <w:t xml:space="preserve">Наибольшее распространение на территории округа получили карбонатно-лессовидные суглинки, перекрывающие все формы рельефа </w:t>
      </w:r>
      <w:r w:rsidR="00234DE8">
        <w:rPr>
          <w:rFonts w:ascii="Times New Roman" w:eastAsia="Calibri" w:hAnsi="Times New Roman" w:cs="Times New Roman"/>
          <w:sz w:val="28"/>
          <w:szCs w:val="28"/>
          <w:lang w:bidi="ru-RU"/>
        </w:rPr>
        <w:t xml:space="preserve">              </w:t>
      </w:r>
      <w:r w:rsidRPr="0042058C">
        <w:rPr>
          <w:rFonts w:ascii="Times New Roman" w:eastAsia="Calibri" w:hAnsi="Times New Roman" w:cs="Times New Roman"/>
          <w:sz w:val="28"/>
          <w:szCs w:val="28"/>
          <w:lang w:bidi="ru-RU"/>
        </w:rPr>
        <w:t>на северном склоне Ставропольской возвышенности (склоны, долины, водоразделы). Мощность лессовидных пород достигает до 20 метров.</w:t>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lang w:bidi="ru-RU"/>
        </w:rPr>
        <w:t>На лессовидных суглинках распространены плодородные чернозёмы.</w:t>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lang w:bidi="ru-RU"/>
        </w:rPr>
        <w:t>На широких приподнятых водораздельных пространствах выделены элювиальные образования, сформировавшиеся в результате выветривания плотных пород на месте своего происхождения. Они представляют собой плиты или обломки известняка или песчаника, на которых сформировались скелетные, маломощные и недоразвитые карбонатные почвенные разновидности, в основном это чернозёмы предкавказские.</w:t>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lang w:bidi="ru-RU"/>
        </w:rPr>
        <w:t>На засоленных суглинках формируются почвы лугового типа: солонцеватые и солончаковатые в различной степени.</w:t>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lang w:bidi="ru-RU"/>
        </w:rPr>
        <w:t xml:space="preserve">Гидроморфные и полугидроморфные почвы сформировались </w:t>
      </w:r>
      <w:r w:rsidR="00234DE8">
        <w:rPr>
          <w:rFonts w:ascii="Times New Roman" w:eastAsia="Calibri" w:hAnsi="Times New Roman" w:cs="Times New Roman"/>
          <w:sz w:val="28"/>
          <w:szCs w:val="28"/>
          <w:lang w:bidi="ru-RU"/>
        </w:rPr>
        <w:t xml:space="preserve">                   </w:t>
      </w:r>
      <w:r w:rsidRPr="0042058C">
        <w:rPr>
          <w:rFonts w:ascii="Times New Roman" w:eastAsia="Calibri" w:hAnsi="Times New Roman" w:cs="Times New Roman"/>
          <w:sz w:val="28"/>
          <w:szCs w:val="28"/>
          <w:lang w:bidi="ru-RU"/>
        </w:rPr>
        <w:t>на аллювиальных незасолённых и засоленных отложениях.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lang w:bidi="ru-RU"/>
        </w:rPr>
        <w:t>Пахотный фонд представлен чернозёмами.</w:t>
      </w:r>
      <w:r w:rsidRPr="0042058C">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lang w:bidi="ru-RU"/>
        </w:rPr>
        <w:t xml:space="preserve">Почти все пахотные земли (более 99,25%) в Труновском муниципальном округе входят в группировку </w:t>
      </w:r>
      <w:r w:rsidR="00234DE8">
        <w:rPr>
          <w:rFonts w:ascii="Times New Roman" w:eastAsia="Calibri" w:hAnsi="Times New Roman" w:cs="Times New Roman"/>
          <w:sz w:val="28"/>
          <w:szCs w:val="28"/>
          <w:lang w:bidi="ru-RU"/>
        </w:rPr>
        <w:t xml:space="preserve">            </w:t>
      </w:r>
      <w:r w:rsidRPr="0042058C">
        <w:rPr>
          <w:rFonts w:ascii="Times New Roman" w:eastAsia="Calibri" w:hAnsi="Times New Roman" w:cs="Times New Roman"/>
          <w:sz w:val="28"/>
          <w:szCs w:val="28"/>
          <w:lang w:bidi="ru-RU"/>
        </w:rPr>
        <w:t xml:space="preserve">с низким содержанием органического вещества. </w:t>
      </w:r>
      <w:r w:rsidRPr="0042058C">
        <w:rPr>
          <w:rFonts w:ascii="Times New Roman" w:eastAsia="Calibri" w:hAnsi="Times New Roman" w:cs="Times New Roman"/>
          <w:sz w:val="28"/>
          <w:szCs w:val="28"/>
        </w:rPr>
        <w:t xml:space="preserve">Также муниципальный округ относится к числу самых низкообеспеченных фосфором почв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Ставропольском крае – 37,01% площади пашни. В округе присутствуют низкообеспеченные обменным калием почвы – 1,43% пашни, однако большая часть обследованной пашни округа, темно-каштановые почвы, имеет среднее и высокое его содержание. Содержание же бора в пашне Труновского муниципального округа особенно высокое в сравнении с другими территориальными единицами края. Наиболее бедны почвы каштановых подтипов округа содержанием подвижного марганца. Количество подвижных форм марганца в пахотном горизонте почв края увеличивается с северо-запада в юго-восточном направлении.</w:t>
      </w:r>
      <w:r w:rsidRPr="0042058C">
        <w:rPr>
          <w:rFonts w:ascii="Times New Roman" w:eastAsia="Calibri" w:hAnsi="Times New Roman" w:cs="Times New Roman"/>
          <w:sz w:val="28"/>
          <w:szCs w:val="28"/>
          <w:vertAlign w:val="superscript"/>
        </w:rPr>
        <w:footnoteReference w:id="81"/>
      </w:r>
    </w:p>
    <w:p w:rsidR="0042058C" w:rsidRPr="0042058C" w:rsidRDefault="0042058C" w:rsidP="0042058C">
      <w:pPr>
        <w:spacing w:after="0"/>
        <w:ind w:firstLine="709"/>
        <w:jc w:val="both"/>
        <w:rPr>
          <w:rFonts w:ascii="Times New Roman" w:eastAsia="Calibri" w:hAnsi="Times New Roman" w:cs="Times New Roman"/>
          <w:sz w:val="28"/>
          <w:szCs w:val="28"/>
          <w:lang w:bidi="ru-RU"/>
        </w:rPr>
      </w:pPr>
      <w:r w:rsidRPr="0042058C">
        <w:rPr>
          <w:rFonts w:ascii="Times New Roman" w:eastAsia="Calibri" w:hAnsi="Times New Roman" w:cs="Times New Roman"/>
          <w:sz w:val="28"/>
          <w:szCs w:val="28"/>
        </w:rPr>
        <w:t xml:space="preserve">Большая часть территории Труновского </w:t>
      </w:r>
      <w:r w:rsidRPr="0042058C">
        <w:rPr>
          <w:rFonts w:ascii="Times New Roman" w:eastAsia="Calibri" w:hAnsi="Times New Roman" w:cs="Times New Roman"/>
          <w:sz w:val="28"/>
          <w:szCs w:val="28"/>
          <w:lang w:bidi="ru-RU"/>
        </w:rPr>
        <w:t xml:space="preserve">муниципального округа </w:t>
      </w:r>
      <w:r w:rsidRPr="0042058C">
        <w:rPr>
          <w:rFonts w:ascii="Times New Roman" w:eastAsia="Calibri" w:hAnsi="Times New Roman" w:cs="Times New Roman"/>
          <w:sz w:val="28"/>
          <w:szCs w:val="28"/>
        </w:rPr>
        <w:t>занята землями сельскохозяйственного назначения.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Общая оценка загрязнения почв, проведенная по суммарному показателю загрязнения почв тяжелыми металлами, свидетельствует, что почвы Труновского муниципального округа имеют крайне низкий уровень загрязнения, допустимый для выращивания любых сельскохозяйственных культур. Содержание тяжелых металлов находится в пределах среднемноголетних значений или близко к ним.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целом, почвы округа нельзя отнести к загрязненным. Они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не подвержены, в том числе, загрязнениям тяжелыми металлами. Основной вред исходит от автотранспорта, бытовых отходов и располагающихся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муниципальном округе и на соседних территориях промышленных объектов.</w:t>
      </w:r>
    </w:p>
    <w:p w:rsidR="0042058C" w:rsidRPr="0042058C" w:rsidRDefault="0042058C" w:rsidP="0042058C">
      <w:pPr>
        <w:widowControl w:val="0"/>
        <w:autoSpaceDE w:val="0"/>
        <w:autoSpaceDN w:val="0"/>
        <w:adjustRightInd w:val="0"/>
        <w:spacing w:after="0"/>
        <w:ind w:left="567"/>
        <w:jc w:val="both"/>
        <w:outlineLvl w:val="2"/>
        <w:rPr>
          <w:rFonts w:ascii="Times New Roman" w:eastAsia="Calibri" w:hAnsi="Times New Roman" w:cs="Times New Roman"/>
          <w:sz w:val="28"/>
          <w:szCs w:val="28"/>
        </w:rPr>
      </w:pPr>
      <w:r w:rsidRPr="0042058C">
        <w:rPr>
          <w:rFonts w:ascii="Times New Roman" w:eastAsia="Times New Roman" w:hAnsi="Times New Roman" w:cs="Times New Roman"/>
          <w:noProof/>
          <w:sz w:val="28"/>
          <w:szCs w:val="28"/>
          <w:lang w:eastAsia="ru-RU"/>
        </w:rPr>
        <w:tab/>
      </w:r>
      <w:bookmarkStart w:id="60" w:name="_Toc85173304"/>
      <w:r w:rsidRPr="0042058C">
        <w:rPr>
          <w:rFonts w:ascii="Times New Roman" w:eastAsia="Calibri" w:hAnsi="Times New Roman" w:cs="Times New Roman"/>
          <w:sz w:val="28"/>
          <w:szCs w:val="28"/>
        </w:rPr>
        <w:t>4</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Лесной фонд</w:t>
      </w:r>
      <w:bookmarkEnd w:id="60"/>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Леса Труновского муниципального округа относятся к защитным. Земли лесного фонда Труновского муниципального округа входят в состав Изобильненского лесничества, являющегося одним из наиболее востребованных для осуществления рекреационной деятельности,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составляют 9,1% от общей площади лесничества – 397 га</w:t>
      </w:r>
      <w:r w:rsidRPr="0042058C">
        <w:rPr>
          <w:rFonts w:ascii="Times New Roman" w:eastAsia="Calibri" w:hAnsi="Times New Roman" w:cs="Times New Roman"/>
          <w:sz w:val="28"/>
          <w:szCs w:val="28"/>
          <w:vertAlign w:val="superscript"/>
        </w:rPr>
        <w:footnoteReference w:id="82"/>
      </w:r>
      <w:r w:rsidRPr="0042058C">
        <w:rPr>
          <w:rFonts w:ascii="Times New Roman" w:eastAsia="Calibri" w:hAnsi="Times New Roman" w:cs="Times New Roman"/>
          <w:sz w:val="28"/>
          <w:szCs w:val="28"/>
        </w:rPr>
        <w:t xml:space="preserve">.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Лесничества осуществляют деятельность по подготовке аукционов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право заключения договоров аренды лесных участков или купли-продажи лесных насаждений, определению границ лесных участков, контролю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за соблюдением требований лесохозяйственного регламента, санитарных требований при рубках, контролю и приемке выполненных работ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лесовосстановлению и лесоразведению, разработке планов мероприятия по профилактике лесных пожаров и др.</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всей территории лесных массивов муниципального округа разрешено осуществление видов деятельности в сфере охотничьего хозяйства, также земли пригодны для ведения сельского хозяйства.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целях снижения антропогенной нагрузки на лесные экосистемы, используемые в рекреационных целях, на таких участках необходимо проведение мер по благоустройству.</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Средний класс пожарной опасности лесных насаждений Изобильненского лесничества – 3,6 (таблица).</w:t>
      </w:r>
    </w:p>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keepNext/>
        <w:spacing w:after="0" w:line="240" w:lineRule="auto"/>
        <w:jc w:val="right"/>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 xml:space="preserve">Таблица </w:t>
      </w:r>
      <w:r w:rsidR="00F62636">
        <w:rPr>
          <w:rFonts w:ascii="Times New Roman" w:eastAsia="Calibri" w:hAnsi="Times New Roman" w:cs="Times New Roman"/>
          <w:bCs/>
          <w:color w:val="262626"/>
          <w:sz w:val="28"/>
          <w:szCs w:val="28"/>
        </w:rPr>
        <w:t>6</w:t>
      </w:r>
      <w:r w:rsidR="000528C2">
        <w:rPr>
          <w:rFonts w:ascii="Times New Roman" w:eastAsia="Calibri" w:hAnsi="Times New Roman" w:cs="Times New Roman"/>
          <w:bCs/>
          <w:color w:val="262626"/>
          <w:sz w:val="28"/>
          <w:szCs w:val="28"/>
        </w:rPr>
        <w:t>5</w:t>
      </w:r>
    </w:p>
    <w:p w:rsidR="0042058C" w:rsidRPr="0042058C" w:rsidRDefault="0042058C" w:rsidP="0042058C">
      <w:pPr>
        <w:keepNext/>
        <w:spacing w:after="0" w:line="240" w:lineRule="auto"/>
        <w:jc w:val="center"/>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Распределение площади лесного фонда Изобильненского лесничества по классам пожарной опасности, 2020 г.</w:t>
      </w:r>
      <w:r w:rsidRPr="0042058C">
        <w:rPr>
          <w:rFonts w:ascii="Times New Roman" w:eastAsia="Calibri" w:hAnsi="Times New Roman" w:cs="Times New Roman"/>
          <w:bCs/>
          <w:color w:val="262626"/>
          <w:sz w:val="28"/>
          <w:szCs w:val="28"/>
          <w:vertAlign w:val="superscript"/>
        </w:rPr>
        <w:footnoteReference w:id="83"/>
      </w:r>
    </w:p>
    <w:p w:rsidR="0042058C" w:rsidRPr="0042058C" w:rsidRDefault="0042058C" w:rsidP="0042058C">
      <w:pPr>
        <w:keepNext/>
        <w:spacing w:after="0" w:line="240" w:lineRule="auto"/>
        <w:jc w:val="right"/>
        <w:rPr>
          <w:rFonts w:ascii="Times New Roman" w:eastAsia="Calibri" w:hAnsi="Times New Roman" w:cs="Times New Roman"/>
          <w:bCs/>
          <w:color w:val="262626"/>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675"/>
        <w:gridCol w:w="851"/>
        <w:gridCol w:w="850"/>
        <w:gridCol w:w="994"/>
        <w:gridCol w:w="850"/>
        <w:gridCol w:w="851"/>
        <w:gridCol w:w="1559"/>
      </w:tblGrid>
      <w:tr w:rsidR="0042058C" w:rsidRPr="0042058C" w:rsidTr="0042058C">
        <w:trPr>
          <w:trHeight w:val="1284"/>
        </w:trPr>
        <w:tc>
          <w:tcPr>
            <w:tcW w:w="923" w:type="pct"/>
            <w:vMerge w:val="restar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лесничества</w:t>
            </w:r>
          </w:p>
        </w:tc>
        <w:tc>
          <w:tcPr>
            <w:tcW w:w="895" w:type="pct"/>
            <w:vMerge w:val="restar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лесов, га</w:t>
            </w:r>
          </w:p>
        </w:tc>
        <w:tc>
          <w:tcPr>
            <w:tcW w:w="2349" w:type="pct"/>
            <w:gridSpan w:val="5"/>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 по классам пожарной опасности, га</w:t>
            </w:r>
          </w:p>
        </w:tc>
        <w:tc>
          <w:tcPr>
            <w:tcW w:w="833" w:type="pct"/>
            <w:vMerge w:val="restart"/>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Средний </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класс пожарной </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опасности </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лесных насаждений</w:t>
            </w:r>
          </w:p>
        </w:tc>
      </w:tr>
      <w:tr w:rsidR="0042058C" w:rsidRPr="0042058C" w:rsidTr="0042058C">
        <w:trPr>
          <w:trHeight w:val="70"/>
        </w:trPr>
        <w:tc>
          <w:tcPr>
            <w:tcW w:w="923" w:type="pct"/>
            <w:vMerge/>
          </w:tcPr>
          <w:p w:rsidR="0042058C" w:rsidRPr="0042058C" w:rsidRDefault="0042058C" w:rsidP="0042058C">
            <w:pPr>
              <w:spacing w:after="0" w:line="240" w:lineRule="auto"/>
              <w:rPr>
                <w:rFonts w:ascii="Times New Roman" w:eastAsia="Calibri" w:hAnsi="Times New Roman" w:cs="Times New Roman"/>
                <w:sz w:val="20"/>
                <w:szCs w:val="20"/>
              </w:rPr>
            </w:pPr>
          </w:p>
        </w:tc>
        <w:tc>
          <w:tcPr>
            <w:tcW w:w="895" w:type="pct"/>
            <w:vMerge/>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p>
        </w:tc>
        <w:tc>
          <w:tcPr>
            <w:tcW w:w="45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I</w:t>
            </w:r>
          </w:p>
        </w:tc>
        <w:tc>
          <w:tcPr>
            <w:tcW w:w="4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II</w:t>
            </w:r>
          </w:p>
        </w:tc>
        <w:tc>
          <w:tcPr>
            <w:tcW w:w="53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III</w:t>
            </w:r>
          </w:p>
        </w:tc>
        <w:tc>
          <w:tcPr>
            <w:tcW w:w="4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IV</w:t>
            </w:r>
          </w:p>
        </w:tc>
        <w:tc>
          <w:tcPr>
            <w:tcW w:w="45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V</w:t>
            </w:r>
          </w:p>
        </w:tc>
        <w:tc>
          <w:tcPr>
            <w:tcW w:w="833" w:type="pct"/>
            <w:vMerge/>
          </w:tcPr>
          <w:p w:rsidR="0042058C" w:rsidRPr="0042058C" w:rsidRDefault="0042058C" w:rsidP="0042058C">
            <w:pPr>
              <w:spacing w:after="0" w:line="240" w:lineRule="auto"/>
              <w:jc w:val="right"/>
              <w:rPr>
                <w:rFonts w:ascii="Times New Roman" w:eastAsia="Calibri" w:hAnsi="Times New Roman" w:cs="Times New Roman"/>
                <w:sz w:val="20"/>
                <w:szCs w:val="20"/>
              </w:rPr>
            </w:pPr>
          </w:p>
        </w:tc>
      </w:tr>
      <w:tr w:rsidR="0042058C" w:rsidRPr="0042058C" w:rsidTr="0042058C">
        <w:tc>
          <w:tcPr>
            <w:tcW w:w="923" w:type="pct"/>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Изобильненское</w:t>
            </w:r>
          </w:p>
        </w:tc>
        <w:tc>
          <w:tcPr>
            <w:tcW w:w="89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4353</w:t>
            </w:r>
          </w:p>
        </w:tc>
        <w:tc>
          <w:tcPr>
            <w:tcW w:w="45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w:t>
            </w:r>
          </w:p>
        </w:tc>
        <w:tc>
          <w:tcPr>
            <w:tcW w:w="4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53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2527</w:t>
            </w:r>
          </w:p>
        </w:tc>
        <w:tc>
          <w:tcPr>
            <w:tcW w:w="4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805</w:t>
            </w:r>
          </w:p>
        </w:tc>
        <w:tc>
          <w:tcPr>
            <w:tcW w:w="455"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945</w:t>
            </w:r>
          </w:p>
        </w:tc>
        <w:tc>
          <w:tcPr>
            <w:tcW w:w="833"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w:t>
            </w:r>
          </w:p>
        </w:tc>
      </w:tr>
    </w:tbl>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эффективной борьбы с лесными пожарами в крае в целом имеется развитая сеть путей транспорта. Сеть лесных дорог на территории Изобильненского лесничества составляет 65 км, 16 км из которых имеют твердое покрытие и 11,9 км – грунтовых, нуждающихся в содержании.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Устройство минерализованных полос – наиболее распространенный вид противопожарного обустройства лесного фонда. Первоочередными участками, где они необходимы, являются леса I-III классов природной пожарной опасности лесов, участки, примыкающие к дорогам и иным объектам повышенной пожарной опасности.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Сроки действия минполос зависят от почвенно-климатических условий их месторасположения на территории края. Срок действия минполос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границах Изобильненского лесничества составляет 2 года.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Действующих особо охраняемых природных территорий на землях лесного фонда округа нет.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Таким образом, лесной фонд Труновского муниципального округа можно охарактеризовать благоприятным для использования в рекреационных и иных целях. Территория не подвержена химическим атакам производственных объектов. Проведение своевременных мероприятий по защите лесов позволяют содержать экосистему в допустимых условиях.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Во избежание негативного воздействия на лесные массивы следует снизить антропогенную нагрузку на территории лесов.</w:t>
      </w:r>
    </w:p>
    <w:p w:rsidR="0042058C" w:rsidRPr="0042058C" w:rsidRDefault="0042058C" w:rsidP="0042058C">
      <w:pPr>
        <w:spacing w:after="0"/>
        <w:ind w:left="709"/>
        <w:jc w:val="both"/>
        <w:outlineLvl w:val="2"/>
        <w:rPr>
          <w:rFonts w:ascii="Times New Roman" w:eastAsia="Calibri" w:hAnsi="Times New Roman" w:cs="Times New Roman"/>
          <w:sz w:val="28"/>
          <w:szCs w:val="28"/>
        </w:rPr>
      </w:pPr>
      <w:bookmarkStart w:id="61" w:name="_Toc85173305"/>
      <w:r w:rsidRPr="0042058C">
        <w:rPr>
          <w:rFonts w:ascii="Times New Roman" w:eastAsia="Calibri" w:hAnsi="Times New Roman" w:cs="Times New Roman"/>
          <w:sz w:val="28"/>
          <w:szCs w:val="28"/>
        </w:rPr>
        <w:t>5</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Система обращения с твердыми коммунальными отходами (ТКО)</w:t>
      </w:r>
      <w:bookmarkEnd w:id="61"/>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Экологическая ситуация в Труновском муниципальном округе напрямую зависит от обращения с твердыми коммунальными отходами.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территории округа накапливается около 6,5 тыс. тонн твердых коммунальных отходов (далее – ТКО) в год. Источниками образования ТКО на территории муниципального округа являются: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жилой фонд;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социального назначения;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сельского хозяйства;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промышленные и производственные предприятия (отходы 4-5 классов опасности).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Данные о количестве нормообразующих показателей по источникам образования твёрдых коммунальных отходов представлены в таблице.</w:t>
      </w:r>
    </w:p>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Расчетные масса и объемы образования ТКО </w:t>
      </w:r>
      <w:r w:rsidRPr="0042058C">
        <w:rPr>
          <w:rFonts w:ascii="Times New Roman" w:eastAsia="Calibri" w:hAnsi="Times New Roman" w:cs="Times New Roman"/>
          <w:bCs/>
          <w:sz w:val="28"/>
          <w:szCs w:val="28"/>
          <w:lang w:val="en-US"/>
        </w:rPr>
        <w:t>IV</w:t>
      </w:r>
      <w:r w:rsidRPr="0042058C">
        <w:rPr>
          <w:rFonts w:ascii="Times New Roman" w:eastAsia="Calibri" w:hAnsi="Times New Roman" w:cs="Times New Roman"/>
          <w:bCs/>
          <w:sz w:val="28"/>
          <w:szCs w:val="28"/>
        </w:rPr>
        <w:t>-</w:t>
      </w:r>
      <w:r w:rsidRPr="0042058C">
        <w:rPr>
          <w:rFonts w:ascii="Times New Roman" w:eastAsia="Calibri" w:hAnsi="Times New Roman" w:cs="Times New Roman"/>
          <w:bCs/>
          <w:sz w:val="28"/>
          <w:szCs w:val="28"/>
          <w:lang w:val="en-US"/>
        </w:rPr>
        <w:t>V</w:t>
      </w:r>
      <w:r w:rsidRPr="0042058C">
        <w:rPr>
          <w:rFonts w:ascii="Times New Roman" w:eastAsia="Calibri" w:hAnsi="Times New Roman" w:cs="Times New Roman"/>
          <w:bCs/>
          <w:sz w:val="28"/>
          <w:szCs w:val="28"/>
        </w:rPr>
        <w:t xml:space="preserve"> классов опасности </w:t>
      </w:r>
      <w:r w:rsidR="00234DE8">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 xml:space="preserve">от разных источников на территории Труновского муниципального округа </w:t>
      </w:r>
      <w:r w:rsidR="00234DE8">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по состоянию на 2019 год</w:t>
      </w:r>
      <w:r w:rsidRPr="0042058C">
        <w:rPr>
          <w:rFonts w:ascii="Times New Roman" w:eastAsia="Calibri" w:hAnsi="Times New Roman" w:cs="Times New Roman"/>
          <w:bCs/>
          <w:sz w:val="28"/>
          <w:szCs w:val="28"/>
          <w:vertAlign w:val="superscript"/>
        </w:rPr>
        <w:footnoteReference w:id="84"/>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2693"/>
      </w:tblGrid>
      <w:tr w:rsidR="0042058C" w:rsidRPr="0042058C" w:rsidTr="0042058C">
        <w:tc>
          <w:tcPr>
            <w:tcW w:w="1894"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Источник образования ТКО</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Объем образующихся ТКО, м</w:t>
            </w:r>
            <w:r w:rsidRPr="0042058C">
              <w:rPr>
                <w:rFonts w:ascii="Times New Roman" w:eastAsia="Calibri" w:hAnsi="Times New Roman" w:cs="Times New Roman"/>
                <w:bCs/>
                <w:color w:val="000000"/>
                <w:sz w:val="20"/>
                <w:szCs w:val="20"/>
                <w:vertAlign w:val="superscript"/>
              </w:rPr>
              <w:t xml:space="preserve">3 </w:t>
            </w:r>
            <w:r w:rsidRPr="0042058C">
              <w:rPr>
                <w:rFonts w:ascii="Times New Roman" w:eastAsia="Calibri" w:hAnsi="Times New Roman" w:cs="Times New Roman"/>
                <w:bCs/>
                <w:color w:val="000000"/>
                <w:sz w:val="20"/>
                <w:szCs w:val="20"/>
              </w:rPr>
              <w:t>/год</w:t>
            </w:r>
          </w:p>
        </w:tc>
        <w:tc>
          <w:tcPr>
            <w:tcW w:w="1439"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Масса образующихся ТКО, т/год</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 xml:space="preserve">Многоквартирные дома </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3000</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225</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Индивидуальные жилые дома</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55888</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4192</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Административные здания, учреждения, конторы</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792</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59</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Организации торговли</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20575</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1543</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Организации транспортной инфраструктуры</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152</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Дошкольные и учебные организации</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1886</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141</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Культурно-развлекательные, спортивные организации</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863</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65</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Организации общественного питания</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2088</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157</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Организации службы быта</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295</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Организации и объекты в сфере похоронных услуг</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905</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68</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Садоводческие кооперативы, садово-огородные товарищества</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r>
      <w:tr w:rsidR="0042058C" w:rsidRPr="0042058C" w:rsidTr="0042058C">
        <w:tc>
          <w:tcPr>
            <w:tcW w:w="1894"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 в Труновском муниципальном округе</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86444</w:t>
            </w:r>
          </w:p>
        </w:tc>
        <w:tc>
          <w:tcPr>
            <w:tcW w:w="143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6483</w:t>
            </w:r>
          </w:p>
        </w:tc>
      </w:tr>
    </w:tbl>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42058C" w:rsidRPr="0042058C" w:rsidRDefault="0042058C" w:rsidP="0042058C">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 xml:space="preserve">В настоящее время в Труновском муниципальном округе применяется централизованная система сбора ТКО, представленная несколькими способами организации: </w:t>
      </w:r>
    </w:p>
    <w:p w:rsidR="0042058C" w:rsidRPr="0042058C" w:rsidRDefault="0042058C" w:rsidP="0042058C">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 xml:space="preserve">контейнерная система – в контейнерах, расположенных </w:t>
      </w:r>
      <w:r w:rsidR="00234DE8">
        <w:rPr>
          <w:rFonts w:ascii="Times New Roman" w:eastAsia="Calibri" w:hAnsi="Times New Roman" w:cs="Times New Roman"/>
          <w:sz w:val="28"/>
          <w:szCs w:val="28"/>
          <w:lang w:eastAsia="ru-RU"/>
        </w:rPr>
        <w:t xml:space="preserve">                             </w:t>
      </w:r>
      <w:r w:rsidRPr="0042058C">
        <w:rPr>
          <w:rFonts w:ascii="Times New Roman" w:eastAsia="Calibri" w:hAnsi="Times New Roman" w:cs="Times New Roman"/>
          <w:sz w:val="28"/>
          <w:szCs w:val="28"/>
          <w:lang w:eastAsia="ru-RU"/>
        </w:rPr>
        <w:t xml:space="preserve">на контейнерных площадках; </w:t>
      </w:r>
    </w:p>
    <w:p w:rsidR="0042058C" w:rsidRPr="0042058C" w:rsidRDefault="0042058C" w:rsidP="0042058C">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 xml:space="preserve">пакетированная – бестарный способ (в мешках); </w:t>
      </w:r>
    </w:p>
    <w:p w:rsidR="0042058C" w:rsidRPr="0042058C" w:rsidRDefault="0042058C" w:rsidP="0042058C">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путём приёма отходов по заявке и по графику.</w:t>
      </w:r>
    </w:p>
    <w:p w:rsidR="0042058C" w:rsidRPr="0042058C" w:rsidRDefault="0042058C" w:rsidP="00234DE8">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В таблице ниже приведены характеристики мест сбора ТКО в разрезе территориальных управлений.</w:t>
      </w:r>
    </w:p>
    <w:p w:rsidR="0042058C" w:rsidRPr="0042058C" w:rsidRDefault="0042058C" w:rsidP="0042058C">
      <w:pPr>
        <w:widowControl w:val="0"/>
        <w:autoSpaceDE w:val="0"/>
        <w:autoSpaceDN w:val="0"/>
        <w:adjustRightInd w:val="0"/>
        <w:spacing w:after="0" w:line="240" w:lineRule="auto"/>
        <w:jc w:val="right"/>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 xml:space="preserve">Таблица </w:t>
      </w:r>
      <w:r w:rsidR="00F62636">
        <w:rPr>
          <w:rFonts w:ascii="Times New Roman" w:eastAsia="Calibri" w:hAnsi="Times New Roman" w:cs="Times New Roman"/>
          <w:sz w:val="28"/>
          <w:szCs w:val="28"/>
          <w:lang w:eastAsia="ru-RU"/>
        </w:rPr>
        <w:t>6</w:t>
      </w:r>
      <w:r w:rsidR="000528C2">
        <w:rPr>
          <w:rFonts w:ascii="Times New Roman" w:eastAsia="Calibri" w:hAnsi="Times New Roman" w:cs="Times New Roman"/>
          <w:sz w:val="28"/>
          <w:szCs w:val="28"/>
          <w:lang w:eastAsia="ru-RU"/>
        </w:rPr>
        <w:t>7</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42058C">
        <w:rPr>
          <w:rFonts w:ascii="Times New Roman" w:eastAsia="Calibri" w:hAnsi="Times New Roman" w:cs="Times New Roman"/>
          <w:sz w:val="28"/>
          <w:szCs w:val="28"/>
          <w:lang w:eastAsia="ru-RU"/>
        </w:rPr>
        <w:t>Характеристика контейнерного парка для сбора ТКО на территории Труновского муниципального округа в разрезе территориальных управлений, 2019 г.</w:t>
      </w:r>
      <w:r w:rsidRPr="0042058C">
        <w:rPr>
          <w:rFonts w:ascii="Times New Roman" w:eastAsia="Calibri" w:hAnsi="Times New Roman" w:cs="Times New Roman"/>
          <w:sz w:val="28"/>
          <w:szCs w:val="28"/>
          <w:lang w:eastAsia="ru-RU"/>
        </w:rPr>
        <w:footnoteReference w:id="85"/>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451"/>
        <w:gridCol w:w="2114"/>
        <w:gridCol w:w="2114"/>
      </w:tblGrid>
      <w:tr w:rsidR="0042058C" w:rsidRPr="0042058C" w:rsidTr="0042058C">
        <w:tc>
          <w:tcPr>
            <w:tcW w:w="1471"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Наименование территориального управления</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Количество мест накопления, ед.</w:t>
            </w:r>
          </w:p>
        </w:tc>
        <w:tc>
          <w:tcPr>
            <w:tcW w:w="111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Количество контейнеров и бункеров, ед.</w:t>
            </w:r>
          </w:p>
        </w:tc>
        <w:tc>
          <w:tcPr>
            <w:tcW w:w="111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sz w:val="20"/>
                <w:szCs w:val="20"/>
                <w:vertAlign w:val="superscript"/>
              </w:rPr>
            </w:pPr>
            <w:r w:rsidRPr="0042058C">
              <w:rPr>
                <w:rFonts w:ascii="Times New Roman" w:eastAsia="Calibri" w:hAnsi="Times New Roman" w:cs="Times New Roman"/>
                <w:bCs/>
                <w:color w:val="000000"/>
                <w:sz w:val="20"/>
                <w:szCs w:val="20"/>
              </w:rPr>
              <w:t>Суммарная ёмкость, м</w:t>
            </w:r>
            <w:r w:rsidRPr="0042058C">
              <w:rPr>
                <w:rFonts w:ascii="Times New Roman" w:eastAsia="Calibri" w:hAnsi="Times New Roman" w:cs="Times New Roman"/>
                <w:bCs/>
                <w:color w:val="000000"/>
                <w:sz w:val="20"/>
                <w:szCs w:val="20"/>
                <w:vertAlign w:val="superscript"/>
              </w:rPr>
              <w:t>3</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24</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4,50</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3,00</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2,25</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9,75</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1,35</w:t>
            </w:r>
          </w:p>
        </w:tc>
      </w:tr>
      <w:tr w:rsidR="0042058C" w:rsidRPr="0042058C" w:rsidTr="0042058C">
        <w:tc>
          <w:tcPr>
            <w:tcW w:w="1471"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 в Труновском муниципальном округе</w:t>
            </w:r>
          </w:p>
        </w:tc>
        <w:tc>
          <w:tcPr>
            <w:tcW w:w="1295"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53</w:t>
            </w:r>
          </w:p>
        </w:tc>
        <w:tc>
          <w:tcPr>
            <w:tcW w:w="111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38,85</w:t>
            </w:r>
          </w:p>
        </w:tc>
      </w:tr>
    </w:tbl>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Опасные отходы (1-3 классов опасности) складируются на территории предприятий и передаются для утилизации в специализированные пункты.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Сбор, транспортирование, обработка, утилизация, обезвреживание, размещение твердых коммунальных отходов (ТКО) на территории Труновского муниципального округа осуществляется региональным оператором ООО «Эко-Сити». Оператор осуществляет эксплуатацию Комплекса по переработке и утилизации отходов и полигона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их размещению на северо-западной границе Шпаковского городского округа (граница с Изобильненским городским округом) севернее хутора Нижнерусского. Мощность объекта составляет более 400 тыс. тонн в год.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Межмуниципальный зональный центр «Нижнерусский» представлен комплексным объектом с использованием передовых природоохранных и инженерно-технических решений по размещению твердых коммунальных отходов III-V классов опасности.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проектировании и эксплуатации отходоперерабатывающего комплекса применены современные технологические решения соответствующие экологическим, санитарно-эпидемическими требованиями и полностью исключающие попадание вредных веществ в почву, загрязнение подземных вод, возгорание и иные проблемы.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строительстве объекта размещения отходов применена новейшая технология: дно полигона выстлано геомембранной пленкой, которая исключает попадание загрязняющих веществ и грунтовых вод в почву. Участок складирования неутильных отходов (хвостов) – полигон, имеющий общий вид основания снизу вверх: уплотненный грунт, выравнивающий слой (песок), плотная геомембрана «Карбафол», дренажный слой, защитный слой из местного грунта.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объекте размещения отходов оборудована дренажная система, есть канализационный коллектор и пять контрольных канализационных колодцев, в которые собирается образовавшийся фильтрат.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предотвращения попадания на полигон запрещенных для приема отходов регулярно проводятся лабораторные исследования, проводятся отборы проб на морфологический, химический и компонентный составы отходов.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Ежеквартально проводятся исследования воздуха, а два раза в год –исследования грунтовых вод и почвы с целью исключения выхода загрязняющих веществ за пределы полигона. Для контроля состояния полигона регулярно проводятся лабораторные исследования, проводятся отборы проб на морфологический, химический и компонентный составы отходов.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Оптимальной технологией по обезвреживанию ТКО является комплексная технология с использованием сортировки и отбора утильных фракций с частичной их переработкой на месте, обезвреживание </w:t>
      </w:r>
      <w:r w:rsidR="00234DE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уплотнение (прессование) оставшихся неутильных фракций.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Одно из важнейших направлений в развитии мусороперерабатывающего комплекса – увеличение массы получаемого вторсырья, развитие его переработки. На мощностях мусороперерабатывающего комплекса производится экологически чистая продукция – полимерпесчаная тротуарная плитка, основным связующим компонентом в которой является вторичная полимерная упаковка, отобранная из ТКО – измельчённые пакеты в смеси с песком.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Здесь же, из вторичного пластика получают крошку, из которой затем производят гранулы для изготовления новых пластиковых ведер, контейнеров, пластиковой мебели, тазов, корзин и т.д.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2018 году была запущена линия по переработке ПЭТ, которая позволяет перерабатывать до 300 тонн сырья в месяц. Из ПЭТ-бутылки получают крошку флэкс – пластиковые хлопья из дробленных ПЭТ-бутылок – сырье для дальнейшей переработки в полиэфирное волокно, применяющееся в текстильной, металлургической, строительной промышленности, медицине, при изготовлении предметов домашнего быта.</w:t>
      </w:r>
    </w:p>
    <w:p w:rsidR="002928A5" w:rsidRDefault="0042058C" w:rsidP="002928A5">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территории Труновского муниципального округа также размещены объекты обезвреживания и утилизации биологических отходов – скотомогильники (таблица).</w:t>
      </w:r>
    </w:p>
    <w:p w:rsidR="0042058C" w:rsidRPr="0042058C" w:rsidRDefault="0042058C" w:rsidP="002928A5">
      <w:pPr>
        <w:spacing w:after="0"/>
        <w:ind w:firstLine="709"/>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6</w:t>
      </w:r>
      <w:r w:rsidR="000528C2">
        <w:rPr>
          <w:rFonts w:ascii="Times New Roman" w:eastAsia="Calibri" w:hAnsi="Times New Roman" w:cs="Times New Roman"/>
          <w:bCs/>
          <w:sz w:val="28"/>
          <w:szCs w:val="28"/>
        </w:rPr>
        <w:t>8</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Объекты обезвреживания и утилизации биологических отходов (скотомогильники) на территории Труновского муниципального округа, 2019 г.</w:t>
      </w:r>
      <w:r w:rsidRPr="0042058C">
        <w:rPr>
          <w:rFonts w:ascii="Times New Roman" w:eastAsia="Calibri" w:hAnsi="Times New Roman" w:cs="Times New Roman"/>
          <w:bCs/>
          <w:sz w:val="28"/>
          <w:szCs w:val="28"/>
          <w:vertAlign w:val="superscript"/>
        </w:rPr>
        <w:footnoteReference w:id="86"/>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3450"/>
        <w:gridCol w:w="3119"/>
      </w:tblGrid>
      <w:tr w:rsidR="0042058C" w:rsidRPr="0042058C" w:rsidTr="0042058C">
        <w:tc>
          <w:tcPr>
            <w:tcW w:w="148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rPr>
            </w:pPr>
            <w:r w:rsidRPr="0042058C">
              <w:rPr>
                <w:rFonts w:ascii="Times New Roman" w:eastAsia="Calibri" w:hAnsi="Times New Roman" w:cs="Times New Roman"/>
                <w:color w:val="000000"/>
              </w:rPr>
              <w:t>Наименование территориального управления</w:t>
            </w:r>
          </w:p>
        </w:tc>
        <w:tc>
          <w:tcPr>
            <w:tcW w:w="1844"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rPr>
            </w:pPr>
            <w:r w:rsidRPr="0042058C">
              <w:rPr>
                <w:rFonts w:ascii="Times New Roman" w:eastAsia="Calibri" w:hAnsi="Times New Roman" w:cs="Times New Roman"/>
                <w:bCs/>
                <w:color w:val="000000"/>
              </w:rPr>
              <w:t>Местоположение</w:t>
            </w:r>
          </w:p>
        </w:tc>
        <w:tc>
          <w:tcPr>
            <w:tcW w:w="1667"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Calibri" w:hAnsi="Times New Roman" w:cs="Times New Roman"/>
                <w:bCs/>
                <w:color w:val="000000"/>
                <w:vertAlign w:val="superscript"/>
              </w:rPr>
            </w:pPr>
            <w:r w:rsidRPr="0042058C">
              <w:rPr>
                <w:rFonts w:ascii="Times New Roman" w:eastAsia="Calibri" w:hAnsi="Times New Roman" w:cs="Times New Roman"/>
                <w:bCs/>
                <w:color w:val="000000"/>
              </w:rPr>
              <w:t>Площадь скотомогильника, м</w:t>
            </w:r>
            <w:r w:rsidRPr="0042058C">
              <w:rPr>
                <w:rFonts w:ascii="Times New Roman" w:eastAsia="Calibri" w:hAnsi="Times New Roman" w:cs="Times New Roman"/>
                <w:bCs/>
                <w:color w:val="000000"/>
                <w:vertAlign w:val="superscript"/>
              </w:rPr>
              <w:t>2</w:t>
            </w:r>
          </w:p>
        </w:tc>
      </w:tr>
      <w:tr w:rsidR="0042058C" w:rsidRPr="0042058C" w:rsidTr="0042058C">
        <w:tc>
          <w:tcPr>
            <w:tcW w:w="148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rPr>
            </w:pPr>
            <w:r w:rsidRPr="0042058C">
              <w:rPr>
                <w:rFonts w:ascii="Times New Roman" w:eastAsia="Calibri" w:hAnsi="Times New Roman" w:cs="Times New Roman"/>
              </w:rPr>
              <w:t>Территориальное управление                                  в п. им. Кирова</w:t>
            </w:r>
          </w:p>
        </w:tc>
        <w:tc>
          <w:tcPr>
            <w:tcW w:w="1844"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rPr>
            </w:pPr>
            <w:r w:rsidRPr="0042058C">
              <w:rPr>
                <w:rFonts w:ascii="Times New Roman" w:eastAsia="Calibri" w:hAnsi="Times New Roman" w:cs="Times New Roman"/>
              </w:rPr>
              <w:t>1 км юго-восточнее п. им. Кирова</w:t>
            </w:r>
          </w:p>
        </w:tc>
        <w:tc>
          <w:tcPr>
            <w:tcW w:w="1667" w:type="pct"/>
            <w:shd w:val="clear" w:color="auto" w:fill="auto"/>
          </w:tcPr>
          <w:p w:rsidR="0042058C" w:rsidRPr="0042058C" w:rsidRDefault="0042058C" w:rsidP="0042058C">
            <w:pPr>
              <w:spacing w:after="0" w:line="240" w:lineRule="auto"/>
              <w:jc w:val="center"/>
              <w:rPr>
                <w:rFonts w:ascii="Times New Roman" w:eastAsia="Calibri" w:hAnsi="Times New Roman" w:cs="Times New Roman"/>
              </w:rPr>
            </w:pPr>
            <w:r w:rsidRPr="0042058C">
              <w:rPr>
                <w:rFonts w:ascii="Times New Roman" w:eastAsia="Calibri" w:hAnsi="Times New Roman" w:cs="Times New Roman"/>
              </w:rPr>
              <w:t>600</w:t>
            </w:r>
          </w:p>
        </w:tc>
      </w:tr>
      <w:tr w:rsidR="0042058C" w:rsidRPr="0042058C" w:rsidTr="0042058C">
        <w:tc>
          <w:tcPr>
            <w:tcW w:w="1489"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rPr>
            </w:pPr>
            <w:r w:rsidRPr="0042058C">
              <w:rPr>
                <w:rFonts w:ascii="Times New Roman" w:eastAsia="Calibri" w:hAnsi="Times New Roman" w:cs="Times New Roman"/>
                <w:color w:val="000000"/>
              </w:rPr>
              <w:t>Всего в Труновском муниципальном округе</w:t>
            </w:r>
          </w:p>
        </w:tc>
        <w:tc>
          <w:tcPr>
            <w:tcW w:w="1844" w:type="pct"/>
            <w:shd w:val="clear" w:color="auto" w:fill="auto"/>
            <w:vAlign w:val="center"/>
          </w:tcPr>
          <w:p w:rsidR="0042058C" w:rsidRPr="0042058C" w:rsidRDefault="0042058C" w:rsidP="004205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rPr>
            </w:pPr>
            <w:r w:rsidRPr="0042058C">
              <w:rPr>
                <w:rFonts w:ascii="Times New Roman" w:eastAsia="Calibri" w:hAnsi="Times New Roman" w:cs="Times New Roman"/>
                <w:color w:val="000000"/>
              </w:rPr>
              <w:t>-</w:t>
            </w:r>
          </w:p>
        </w:tc>
        <w:tc>
          <w:tcPr>
            <w:tcW w:w="166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rPr>
            </w:pPr>
            <w:r w:rsidRPr="0042058C">
              <w:rPr>
                <w:rFonts w:ascii="Times New Roman" w:eastAsia="Calibri" w:hAnsi="Times New Roman" w:cs="Times New Roman"/>
                <w:color w:val="000000"/>
              </w:rPr>
              <w:t>600</w:t>
            </w:r>
          </w:p>
        </w:tc>
      </w:tr>
    </w:tbl>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обеззараживания медицинских отходов, функционирующих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учреждениях здравоохранения Труновского муниципального округа, подведомственных министерству здравоохранения Ставропольского края, используется установка «Балтнер», размещенная в ГБУЗ СК «Труновская РБ» с. Донского.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муниципальном округе также имеются 3 пункта приёма лома чёрных и цветных металлов.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Одной из основных проблем в округе остается образование несанкционированных свалок. Однако с каждым годом обстановка улучшается. За устранение свалок ответственен региональный оператор.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соответствии с постановлением Правительства Р</w:t>
      </w:r>
      <w:r w:rsidR="002928A5">
        <w:rPr>
          <w:rFonts w:ascii="Times New Roman" w:eastAsia="Calibri" w:hAnsi="Times New Roman" w:cs="Times New Roman"/>
          <w:sz w:val="28"/>
          <w:szCs w:val="28"/>
        </w:rPr>
        <w:t xml:space="preserve">оссийской </w:t>
      </w:r>
      <w:r w:rsidRPr="0042058C">
        <w:rPr>
          <w:rFonts w:ascii="Times New Roman" w:eastAsia="Calibri" w:hAnsi="Times New Roman" w:cs="Times New Roman"/>
          <w:sz w:val="28"/>
          <w:szCs w:val="28"/>
        </w:rPr>
        <w:t>Ф</w:t>
      </w:r>
      <w:r w:rsidR="002928A5">
        <w:rPr>
          <w:rFonts w:ascii="Times New Roman" w:eastAsia="Calibri" w:hAnsi="Times New Roman" w:cs="Times New Roman"/>
          <w:sz w:val="28"/>
          <w:szCs w:val="28"/>
        </w:rPr>
        <w:t xml:space="preserve">едерации </w:t>
      </w:r>
      <w:r w:rsidRPr="0042058C">
        <w:rPr>
          <w:rFonts w:ascii="Times New Roman" w:eastAsia="Calibri" w:hAnsi="Times New Roman" w:cs="Times New Roman"/>
          <w:sz w:val="28"/>
          <w:szCs w:val="28"/>
        </w:rPr>
        <w:t>№</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1156 от 12.11.2016 г. региональный оператор, обнаружив место складирования ТКО объемом больше одного кубометра, на участке,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не предназначенном для этих целей, обязан уведомить собственника земельного участка, муниципалитет и орган, осуществляющий государственный экологический надзор, об обнаружении места несанкционированной свалки. Далее оповестить собственника земельного участка о необходимости ликвидации свалки. Вместе с этим, собственник получит и проект договора на оказание услуг по ликвидации выявленного места несанкционированного размещения ТКО.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Если в течение установленного срока свалка находится на прежнем месте, а собственник земельного участка не заключил договор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региональным оператором на оказание услуг по ее ликвидации, региональный оператор должен ее вывезти с правом обращения в суд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 взыскании понесенных расходов.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Система обращения с ТКО в Труновском муниципальном округе нуждается в доработке. Ситуация в целом в округе остается удовлетворительной. Закрепленный за округом региональный оператор выполняет свои обязанности по сбору и переработке мусора, однако система вывоза и утилизации отходов требует реорганизации. Проблема решаема только в случае комплексного подхода, в частности, необходимо стимулирование населения к осознанному обращению с отходами.</w:t>
      </w:r>
    </w:p>
    <w:p w:rsidR="0042058C" w:rsidRPr="0042058C" w:rsidRDefault="0042058C" w:rsidP="0042058C">
      <w:pPr>
        <w:spacing w:after="0"/>
        <w:jc w:val="both"/>
        <w:outlineLvl w:val="0"/>
        <w:rPr>
          <w:rFonts w:ascii="Times New Roman" w:eastAsia="Calibri" w:hAnsi="Times New Roman" w:cs="Times New Roman"/>
          <w:b/>
          <w:sz w:val="28"/>
          <w:szCs w:val="28"/>
        </w:rPr>
      </w:pPr>
      <w:bookmarkStart w:id="62" w:name="_Toc85173306"/>
    </w:p>
    <w:p w:rsidR="0042058C" w:rsidRPr="0042058C" w:rsidRDefault="0042058C" w:rsidP="002928A5">
      <w:pPr>
        <w:spacing w:after="0"/>
        <w:ind w:firstLine="709"/>
        <w:jc w:val="both"/>
        <w:outlineLvl w:val="0"/>
        <w:rPr>
          <w:rFonts w:ascii="Times New Roman" w:eastAsia="Calibri" w:hAnsi="Times New Roman" w:cs="Times New Roman"/>
          <w:b/>
          <w:sz w:val="28"/>
          <w:szCs w:val="28"/>
        </w:rPr>
      </w:pPr>
      <w:r w:rsidRPr="0042058C">
        <w:rPr>
          <w:rFonts w:ascii="Times New Roman" w:eastAsia="Calibri" w:hAnsi="Times New Roman" w:cs="Times New Roman"/>
          <w:b/>
          <w:sz w:val="28"/>
          <w:szCs w:val="28"/>
        </w:rPr>
        <w:t xml:space="preserve">Статья </w:t>
      </w:r>
      <w:r w:rsidR="00C952A3">
        <w:rPr>
          <w:rFonts w:ascii="Times New Roman" w:eastAsia="Calibri" w:hAnsi="Times New Roman" w:cs="Times New Roman"/>
          <w:b/>
          <w:sz w:val="28"/>
          <w:szCs w:val="28"/>
        </w:rPr>
        <w:t>6</w:t>
      </w:r>
      <w:r w:rsidRPr="0042058C">
        <w:rPr>
          <w:rFonts w:ascii="Times New Roman" w:eastAsia="Calibri" w:hAnsi="Times New Roman" w:cs="Times New Roman"/>
          <w:b/>
          <w:sz w:val="28"/>
          <w:szCs w:val="28"/>
        </w:rPr>
        <w:t xml:space="preserve">. Обоснование выбранного варианта размещения объектов местного значения </w:t>
      </w:r>
      <w:bookmarkEnd w:id="62"/>
      <w:r w:rsidRPr="0042058C">
        <w:rPr>
          <w:rFonts w:ascii="Times New Roman" w:eastAsia="Calibri" w:hAnsi="Times New Roman" w:cs="Times New Roman"/>
          <w:b/>
          <w:sz w:val="28"/>
          <w:szCs w:val="28"/>
        </w:rPr>
        <w:t>Труновского муниципального округа</w:t>
      </w:r>
    </w:p>
    <w:p w:rsidR="0042058C" w:rsidRPr="0042058C" w:rsidRDefault="0042058C" w:rsidP="0042058C">
      <w:pPr>
        <w:spacing w:after="0"/>
        <w:jc w:val="both"/>
        <w:outlineLvl w:val="0"/>
        <w:rPr>
          <w:rFonts w:ascii="Times New Roman" w:eastAsia="Calibri" w:hAnsi="Times New Roman" w:cs="Times New Roman"/>
          <w:b/>
          <w:sz w:val="28"/>
          <w:szCs w:val="28"/>
        </w:rPr>
      </w:pPr>
    </w:p>
    <w:p w:rsidR="0042058C" w:rsidRPr="0042058C" w:rsidRDefault="0042058C" w:rsidP="002928A5">
      <w:pPr>
        <w:spacing w:after="0"/>
        <w:ind w:firstLine="709"/>
        <w:jc w:val="both"/>
        <w:outlineLvl w:val="1"/>
        <w:rPr>
          <w:rFonts w:ascii="Times New Roman" w:eastAsia="Calibri" w:hAnsi="Times New Roman" w:cs="Times New Roman"/>
          <w:bCs/>
          <w:sz w:val="28"/>
          <w:szCs w:val="28"/>
        </w:rPr>
      </w:pPr>
      <w:bookmarkStart w:id="63" w:name="_Toc85173307"/>
      <w:r w:rsidRPr="0042058C">
        <w:rPr>
          <w:rFonts w:ascii="Times New Roman" w:eastAsia="Calibri" w:hAnsi="Times New Roman" w:cs="Times New Roman"/>
          <w:sz w:val="28"/>
          <w:szCs w:val="28"/>
        </w:rPr>
        <w:t xml:space="preserve">1. </w:t>
      </w:r>
      <w:bookmarkEnd w:id="63"/>
      <w:r w:rsidRPr="0042058C">
        <w:rPr>
          <w:rFonts w:ascii="Times New Roman" w:eastAsia="Calibri" w:hAnsi="Times New Roman" w:cs="Times New Roman"/>
          <w:bCs/>
          <w:sz w:val="28"/>
          <w:szCs w:val="28"/>
        </w:rPr>
        <w:t>По удельному весу в общей численности населения муниципального округа после административного центра – с. Донского (13492 чел.) следуют Безопасненсое территориальное управление (6069 чел.) и Труновское территориальное управление (5681 чел), на долю которых приходится почти 90% населения округа.</w:t>
      </w:r>
    </w:p>
    <w:p w:rsidR="0042058C" w:rsidRPr="0042058C" w:rsidRDefault="0042058C" w:rsidP="0042058C">
      <w:pPr>
        <w:spacing w:after="0" w:line="256" w:lineRule="auto"/>
        <w:ind w:firstLine="709"/>
        <w:jc w:val="both"/>
        <w:rPr>
          <w:rFonts w:ascii="Times New Roman" w:eastAsia="Calibri" w:hAnsi="Times New Roman" w:cs="Times New Roman"/>
          <w:sz w:val="28"/>
          <w:szCs w:val="28"/>
        </w:rPr>
      </w:pPr>
      <w:r w:rsidRPr="0042058C">
        <w:rPr>
          <w:rFonts w:ascii="Times New Roman" w:eastAsia="Calibri" w:hAnsi="Times New Roman" w:cs="Times New Roman"/>
          <w:bCs/>
          <w:sz w:val="28"/>
          <w:szCs w:val="28"/>
        </w:rPr>
        <w:t>Группировка и типология сельских населенных пунктов округа представлена в таблице.</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0528C2">
        <w:rPr>
          <w:rFonts w:ascii="Times New Roman" w:eastAsia="Calibri" w:hAnsi="Times New Roman" w:cs="Times New Roman"/>
          <w:bCs/>
          <w:sz w:val="28"/>
          <w:szCs w:val="28"/>
        </w:rPr>
        <w:t>69</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Группировка сельских населенных пунктов Труновского муниципального округа по численности населения</w:t>
      </w:r>
      <w:r w:rsidRPr="0042058C">
        <w:rPr>
          <w:rFonts w:ascii="Times New Roman" w:eastAsia="Calibri" w:hAnsi="Times New Roman" w:cs="Times New Roman"/>
          <w:bCs/>
          <w:sz w:val="28"/>
          <w:szCs w:val="28"/>
          <w:vertAlign w:val="superscript"/>
        </w:rPr>
        <w:footnoteReference w:id="87"/>
      </w:r>
    </w:p>
    <w:tbl>
      <w:tblPr>
        <w:tblpPr w:leftFromText="180" w:rightFromText="180"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4642"/>
      </w:tblGrid>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Группы</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Численность жителей, тыс. человек</w:t>
            </w:r>
          </w:p>
        </w:tc>
        <w:tc>
          <w:tcPr>
            <w:tcW w:w="4642" w:type="dxa"/>
            <w:tcBorders>
              <w:right w:val="single" w:sz="4" w:space="0" w:color="auto"/>
            </w:tcBorders>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Населенные пункты округа</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Крупнейшие</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более 5</w:t>
            </w:r>
          </w:p>
        </w:tc>
        <w:tc>
          <w:tcPr>
            <w:tcW w:w="4642" w:type="dxa"/>
            <w:tcBorders>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 Безопасное, с. Донское,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Крупные</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3 – 5</w:t>
            </w:r>
          </w:p>
        </w:tc>
        <w:tc>
          <w:tcPr>
            <w:tcW w:w="4642" w:type="dxa"/>
            <w:tcBorders>
              <w:right w:val="single" w:sz="4" w:space="0" w:color="auto"/>
            </w:tcBorders>
            <w:shd w:val="clear" w:color="auto" w:fill="auto"/>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Большие</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1 – 3</w:t>
            </w:r>
          </w:p>
        </w:tc>
        <w:tc>
          <w:tcPr>
            <w:tcW w:w="4642" w:type="dxa"/>
            <w:tcBorders>
              <w:right w:val="single" w:sz="4" w:space="0" w:color="auto"/>
            </w:tcBorders>
            <w:shd w:val="clear" w:color="auto" w:fill="auto"/>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 пос. им. Кирова</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Средние </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0,2 – 1</w:t>
            </w:r>
          </w:p>
        </w:tc>
        <w:tc>
          <w:tcPr>
            <w:tcW w:w="4642" w:type="dxa"/>
            <w:tcBorders>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 Ключевское, х. Невдахин, пос. Нижняя Терновка, с. Новая Кугульта, пос. Новотерновский,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пос. Правоегорлыкский,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 Эммануэлевский</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Малые</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0,05 – 0,2</w:t>
            </w:r>
          </w:p>
        </w:tc>
        <w:tc>
          <w:tcPr>
            <w:tcW w:w="4642" w:type="dxa"/>
            <w:tcBorders>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Сухой Лог</w:t>
            </w:r>
          </w:p>
        </w:tc>
      </w:tr>
      <w:tr w:rsidR="0042058C" w:rsidRPr="0042058C" w:rsidTr="0042058C">
        <w:tc>
          <w:tcPr>
            <w:tcW w:w="2093" w:type="dxa"/>
            <w:tcBorders>
              <w:left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Особо малые</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менее 0,05</w:t>
            </w:r>
          </w:p>
        </w:tc>
        <w:tc>
          <w:tcPr>
            <w:tcW w:w="4642" w:type="dxa"/>
            <w:tcBorders>
              <w:right w:val="single" w:sz="4" w:space="0" w:color="auto"/>
            </w:tcBorders>
            <w:shd w:val="clear" w:color="auto" w:fill="auto"/>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х. Кофанов</w:t>
            </w:r>
          </w:p>
        </w:tc>
      </w:tr>
      <w:tr w:rsidR="0042058C" w:rsidRPr="0042058C" w:rsidTr="0042058C">
        <w:tc>
          <w:tcPr>
            <w:tcW w:w="2093" w:type="dxa"/>
            <w:tcBorders>
              <w:left w:val="single" w:sz="4" w:space="0" w:color="auto"/>
              <w:bottom w:val="single" w:sz="4" w:space="0" w:color="auto"/>
            </w:tcBorders>
            <w:shd w:val="clear" w:color="auto" w:fill="auto"/>
            <w:vAlign w:val="center"/>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Без населения</w:t>
            </w:r>
          </w:p>
        </w:tc>
        <w:tc>
          <w:tcPr>
            <w:tcW w:w="2835" w:type="dxa"/>
            <w:shd w:val="clear" w:color="auto" w:fill="auto"/>
            <w:vAlign w:val="center"/>
          </w:tcPr>
          <w:p w:rsidR="0042058C" w:rsidRPr="0042058C" w:rsidRDefault="0042058C" w:rsidP="0042058C">
            <w:pPr>
              <w:spacing w:after="0" w:line="240" w:lineRule="auto"/>
              <w:jc w:val="center"/>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4642" w:type="dxa"/>
            <w:tcBorders>
              <w:right w:val="single" w:sz="4" w:space="0" w:color="auto"/>
            </w:tcBorders>
            <w:shd w:val="clear" w:color="auto" w:fill="auto"/>
          </w:tcPr>
          <w:p w:rsidR="0042058C" w:rsidRPr="0042058C" w:rsidRDefault="0042058C" w:rsidP="0042058C">
            <w:pPr>
              <w:spacing w:after="0" w:line="240" w:lineRule="auto"/>
              <w:textAlignment w:val="baseline"/>
              <w:rPr>
                <w:rFonts w:ascii="Times New Roman" w:eastAsia="Calibri" w:hAnsi="Times New Roman" w:cs="Times New Roman"/>
                <w:sz w:val="20"/>
                <w:szCs w:val="20"/>
              </w:rPr>
            </w:pPr>
            <w:r w:rsidRPr="0042058C">
              <w:rPr>
                <w:rFonts w:ascii="Times New Roman" w:eastAsia="Calibri" w:hAnsi="Times New Roman" w:cs="Times New Roman"/>
                <w:sz w:val="20"/>
                <w:szCs w:val="20"/>
              </w:rPr>
              <w:t>х. Егорлык</w:t>
            </w:r>
          </w:p>
        </w:tc>
      </w:tr>
    </w:tbl>
    <w:p w:rsidR="0042058C" w:rsidRPr="0042058C" w:rsidRDefault="0042058C" w:rsidP="0042058C">
      <w:pPr>
        <w:autoSpaceDN w:val="0"/>
        <w:spacing w:after="0"/>
        <w:jc w:val="both"/>
        <w:rPr>
          <w:rFonts w:ascii="Arial" w:eastAsia="Calibri" w:hAnsi="Arial" w:cs="Arial"/>
          <w:bCs/>
          <w:sz w:val="24"/>
          <w:szCs w:val="24"/>
        </w:rPr>
      </w:pPr>
    </w:p>
    <w:p w:rsidR="0042058C" w:rsidRPr="0042058C" w:rsidRDefault="0042058C" w:rsidP="0042058C">
      <w:pPr>
        <w:autoSpaceDN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Основу пространственно-планировочной организации территории составляют линейные, узловые и площадные элементы (в том числе, элементы опорного каркаса расселения), относящиеся к природному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антропогенному каркасам планировочной структуры территории округа.</w:t>
      </w:r>
    </w:p>
    <w:p w:rsidR="0042058C" w:rsidRPr="0042058C" w:rsidRDefault="0042058C" w:rsidP="0042058C">
      <w:pPr>
        <w:autoSpaceDN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Основными структурообразующим линейным элементом природного каркаса являются реки. К площадным элементам природно-планировочного каркаса относятся ООПТ, площадные водные объекты, леса и измененные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результате хозяйственной деятельности ландшафты.</w:t>
      </w:r>
    </w:p>
    <w:p w:rsidR="0042058C" w:rsidRPr="0042058C" w:rsidRDefault="0042058C" w:rsidP="0042058C">
      <w:pPr>
        <w:autoSpaceDN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Антропогенный каркас формируется основными планировочными осями (транспортные пути и инженерные коммуникации), планировочными узлами/центрами (населенными пунктами) и прочими территориями (площадки промышленных предприятий, месторождения разработки полезных ископаемых, сельскохозяйственные угодья, сезонной хозяйственной деятельности и т.п. территории, расположенные за пределами населенных пунктов).</w:t>
      </w:r>
    </w:p>
    <w:p w:rsidR="0042058C" w:rsidRPr="0042058C" w:rsidRDefault="0042058C" w:rsidP="0042058C">
      <w:pPr>
        <w:autoSpaceDN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Планировочные оси и центры могут быть основными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второстепенными, формирующимися и деградирующими.</w:t>
      </w:r>
    </w:p>
    <w:p w:rsidR="0042058C" w:rsidRPr="0042058C" w:rsidRDefault="0042058C" w:rsidP="0042058C">
      <w:pPr>
        <w:autoSpaceDN w:val="0"/>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территории Труновского муниципального округа, несмотря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явное преобладание антропогенного планировочного каркаса над природным, прослеживается комплексное сочетание планировочных каркасов. Такое сочетание в современном научном понимании обозначается через понятие «градо-экологический каркас» территории.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Градоэкологический каркас – это система, которая складывается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учетом оптимальных природоохранных и функционально-планировочных решений с целью создания наиболее благоприятных градо-экологических условий.</w:t>
      </w:r>
    </w:p>
    <w:p w:rsid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Типы функциональных элементов градо-экологического каркаса для территории Труновского муниципального округа представлены в таблице ниже.</w:t>
      </w:r>
    </w:p>
    <w:p w:rsidR="002928A5" w:rsidRPr="0042058C" w:rsidRDefault="002928A5"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0</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Функциональные элементы и структура градо-экологического каркаса Труновского муниципального округа</w:t>
      </w:r>
      <w:r w:rsidRPr="0042058C">
        <w:rPr>
          <w:rFonts w:ascii="Times New Roman" w:eastAsia="Calibri" w:hAnsi="Times New Roman" w:cs="Times New Roman"/>
          <w:bCs/>
          <w:sz w:val="28"/>
          <w:szCs w:val="28"/>
          <w:vertAlign w:val="superscript"/>
          <w:lang w:eastAsia="ru-RU"/>
        </w:rPr>
        <w:footnoteReference w:id="88"/>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2058C" w:rsidRPr="0042058C" w:rsidTr="0042058C">
        <w:tc>
          <w:tcPr>
            <w:tcW w:w="351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Функциональные элементы</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градо-экологического каркаса</w:t>
            </w:r>
          </w:p>
        </w:tc>
        <w:tc>
          <w:tcPr>
            <w:tcW w:w="606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Структура природных комплексов и компонентов</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Экологические коридоры</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Долины и русла рек округа – прежде всего Егорлык, Большая Кугульта, Ташла, а также малых рек – Терновка, Терновочка, Тугулук, Малая Кугульта. Важную роль играет искусственный линейный водный объект – Правоегорлыкский оросительный канал, лесопосадки вдоль транспортных путей (автомобильных дорог общего пользования регионального, межмуниципального, местного значения), а также на землях сельскохозяйственного назначения и земельных участков сельскохозяйственного использования</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Межмагистральные клинья </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Пространства, перемежающиеся с частной застройкой, территории бывших питомников, элементы «зеленых» полос (лесополос) вдоль а/м путей, </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Ядра </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Леса Гослесфонда</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Буферные зоны</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Водоохранные зоны, охранные зоны лесов и парков, рекреационные зоны, санитарно-защитные, охранные зоны водозаборов </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Точечные элементы </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Памятники природы, зеленые зоны парков, скверы, бульвары, придомовые пространства, охраняемые объекты неживой природы, памятники истории и культуры</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Система рекреационных зон</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Парки, система мест отдыха у воды, скверы, бульвары и др.</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«Зеленое кольцо»</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Элементы водно-зеленого диаметра, леса зеленого пояса, лесопарки, леса Гослесфонда, сельскохозяйственные угодья, территории дачных, садоводческих или огороднических некоммерческих объединений граждан</w:t>
            </w:r>
          </w:p>
        </w:tc>
      </w:tr>
      <w:tr w:rsidR="0042058C" w:rsidRPr="0042058C" w:rsidTr="0042058C">
        <w:tc>
          <w:tcPr>
            <w:tcW w:w="3510" w:type="dxa"/>
            <w:shd w:val="clear" w:color="auto" w:fill="auto"/>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«Бедленды»</w:t>
            </w:r>
          </w:p>
        </w:tc>
        <w:tc>
          <w:tcPr>
            <w:tcW w:w="6060" w:type="dxa"/>
            <w:shd w:val="clear" w:color="auto" w:fill="auto"/>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Пустыри, отстойники, свалки, промзоны, природные комплексы, находящиеся под постоянным неблагоприятным экологическим воздействием</w:t>
            </w:r>
          </w:p>
        </w:tc>
      </w:tr>
    </w:tbl>
    <w:p w:rsidR="0042058C" w:rsidRPr="0042058C" w:rsidRDefault="0042058C" w:rsidP="0042058C">
      <w:pPr>
        <w:spacing w:after="0"/>
        <w:ind w:firstLine="709"/>
        <w:jc w:val="both"/>
        <w:rPr>
          <w:rFonts w:ascii="Arial" w:eastAsia="Calibri" w:hAnsi="Arial" w:cs="Arial"/>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Одним из важных аспектов формирования градо-экологического каркаса территории является целостность данной системы. Обеспечение пространственной непрерывности градо-экологического каркаса может быть осуществлено путем формирования разветвленной системы зеленых «связок», объединяющих отдельные территории природного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градостроительного комплексов, в результате проведения следующих мероприятий: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сохранение существующих и реабилитация утраченных ландшафтов рек, в качестве экологических коридоров, являющихся важнейшим связующим звеном его структуры, обеспечивающим поддержание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возможность восстановления природного разнообразия территорий,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их устойчивость и экологическую эффективность;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восстановление, очистка и реконструкция русел, освобождение пойм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притеррасных понижений от несанкционированной застройки и объектов промышленной инфраструктуры;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выделение в каждом планировочном районе и сохранение ключевых межмагистральных клиньев, «территорий-связок», включающих существующие и резервные территории природного каркаса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обеспечивающих связь основных его элементов между собой;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реабилитация и создание новых парков (как площадных ареалов каркаса) взамен стареющих и утраченных, особенно в районах новой застройки;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формирование в контактных зонах природного каркаса и территориях застройки малозастроенных и озелененных зон, способствующих снижению нагрузок на природный комплекс;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развитие системы озеленения и озеленение пешеходных зон, улиц, технических зон, инженерных коммуникаций;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сохранение и создание новых озелененных территорий общего пользования (бульваров, скверов) и специального назначения (защитных полос вдоль железнодорожных путей, инженерно-технических зон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коммуникаций);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рекультивация и реабилитация «бедлендов»;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соблюдение правил инсоляции и аэрации при новой жилой застройке;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создание устойчивых функциональных взаимосвязей элементов «градо-экологического» каркаса, обеспечивающих их непрерывность;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модернизация инженерной инфраструктуры, в первую очередь, в сфере очистки сточных вод, очистки стоков хозяйственно-бытовой канализации, утилизации бытовых отходов (несанкционированных свалок);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обеспечение возможности к самовосстановлению – специфической особенности природных систем, которая при чрезмерном антропогенном воздействии может быть нарушена;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выявление и включение в состав территорий градо-экологического каркаса ценных природных объектов – деревьев, источников минеральных вод, фрагментов ландшафта, мест произрастания и обитания редких растений. </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Таким образом, градо-экологический каркас выступает основой будущей планировочной структуры территории Труновского муниципального округа.</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Планировочными осями 1-го порядка для территории округа являются:</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долина реки Егорлыка, Большой Кугульты и Тугулука – формируют субмеридиональные планировочные оси. На этоих осях расположены наиболее крупные населенные пункты округа: с. Донское, с. Безопасное </w:t>
      </w:r>
      <w:r w:rsidR="002928A5">
        <w:rPr>
          <w:rFonts w:ascii="Times New Roman" w:eastAsia="Calibri" w:hAnsi="Times New Roman" w:cs="Times New Roman"/>
          <w:bCs/>
          <w:sz w:val="28"/>
          <w:szCs w:val="28"/>
        </w:rPr>
        <w:t xml:space="preserve">                и </w:t>
      </w:r>
      <w:r w:rsidRPr="0042058C">
        <w:rPr>
          <w:rFonts w:ascii="Times New Roman" w:eastAsia="Calibri" w:hAnsi="Times New Roman" w:cs="Times New Roman"/>
          <w:bCs/>
          <w:sz w:val="28"/>
          <w:szCs w:val="28"/>
        </w:rPr>
        <w:t>с. Труновское и др.;</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автомобильные дороги общего пользования регионального значения: </w:t>
      </w:r>
      <w:r w:rsidRPr="0042058C">
        <w:rPr>
          <w:rFonts w:ascii="Times New Roman" w:eastAsia="Calibri" w:hAnsi="Times New Roman" w:cs="Times New Roman"/>
          <w:sz w:val="28"/>
          <w:szCs w:val="28"/>
        </w:rPr>
        <w:t>07Р-041 «Ростов-на-Дону – Ставрополь»– меридиональная планировочная ось и 07К-037 «Изобильный – Труновское – Кугульта»</w:t>
      </w:r>
      <w:r w:rsidRPr="0042058C">
        <w:rPr>
          <w:rFonts w:ascii="Times New Roman" w:eastAsia="Calibri" w:hAnsi="Times New Roman" w:cs="Times New Roman"/>
          <w:bCs/>
          <w:sz w:val="28"/>
          <w:szCs w:val="28"/>
        </w:rPr>
        <w:t xml:space="preserve"> – широтная планировочная ось.</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Главные планировочные оси фактически делят территорию округа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на 4 сектора с разным уровнем градостроительного развития и освоения.</w:t>
      </w:r>
    </w:p>
    <w:p w:rsidR="0042058C" w:rsidRPr="0042058C" w:rsidRDefault="0042058C" w:rsidP="0042058C">
      <w:pPr>
        <w:spacing w:after="0"/>
        <w:jc w:val="both"/>
        <w:rPr>
          <w:rFonts w:ascii="Arial" w:eastAsia="Calibri" w:hAnsi="Arial" w:cs="Arial"/>
          <w:b/>
          <w:sz w:val="24"/>
          <w:szCs w:val="24"/>
        </w:rPr>
      </w:pPr>
      <w:r>
        <w:rPr>
          <w:rFonts w:ascii="Arial" w:eastAsia="Calibri" w:hAnsi="Arial" w:cs="Arial"/>
          <w:b/>
          <w:noProof/>
          <w:sz w:val="24"/>
          <w:szCs w:val="24"/>
          <w:lang w:eastAsia="ru-RU"/>
        </w:rPr>
        <w:drawing>
          <wp:inline distT="0" distB="0" distL="0" distR="0" wp14:anchorId="53212A86" wp14:editId="3A694008">
            <wp:extent cx="5937885" cy="665162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6651625"/>
                    </a:xfrm>
                    <a:prstGeom prst="rect">
                      <a:avLst/>
                    </a:prstGeom>
                    <a:noFill/>
                  </pic:spPr>
                </pic:pic>
              </a:graphicData>
            </a:graphic>
          </wp:inline>
        </w:drawing>
      </w:r>
    </w:p>
    <w:p w:rsidR="0042058C" w:rsidRPr="0042058C" w:rsidRDefault="0042058C" w:rsidP="0042058C">
      <w:pPr>
        <w:keepNext/>
        <w:spacing w:after="0" w:line="240" w:lineRule="auto"/>
        <w:jc w:val="right"/>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Рисунок </w:t>
      </w:r>
      <w:r w:rsidRPr="0042058C">
        <w:rPr>
          <w:rFonts w:ascii="Times New Roman" w:eastAsia="Calibri" w:hAnsi="Times New Roman" w:cs="Times New Roman"/>
          <w:bCs/>
          <w:sz w:val="28"/>
          <w:szCs w:val="28"/>
        </w:rPr>
        <w:fldChar w:fldCharType="begin"/>
      </w:r>
      <w:r w:rsidRPr="0042058C">
        <w:rPr>
          <w:rFonts w:ascii="Times New Roman" w:eastAsia="Calibri" w:hAnsi="Times New Roman" w:cs="Times New Roman"/>
          <w:bCs/>
          <w:sz w:val="28"/>
          <w:szCs w:val="28"/>
        </w:rPr>
        <w:instrText xml:space="preserve"> SEQ Рисунок \* ARABIC </w:instrText>
      </w:r>
      <w:r w:rsidRPr="0042058C">
        <w:rPr>
          <w:rFonts w:ascii="Times New Roman" w:eastAsia="Calibri" w:hAnsi="Times New Roman" w:cs="Times New Roman"/>
          <w:bCs/>
          <w:sz w:val="28"/>
          <w:szCs w:val="28"/>
        </w:rPr>
        <w:fldChar w:fldCharType="separate"/>
      </w:r>
      <w:r w:rsidR="00AC7BDA">
        <w:rPr>
          <w:rFonts w:ascii="Times New Roman" w:eastAsia="Calibri" w:hAnsi="Times New Roman" w:cs="Times New Roman"/>
          <w:bCs/>
          <w:noProof/>
          <w:sz w:val="28"/>
          <w:szCs w:val="28"/>
        </w:rPr>
        <w:t>4</w:t>
      </w:r>
      <w:r w:rsidRPr="0042058C">
        <w:rPr>
          <w:rFonts w:ascii="Times New Roman" w:eastAsia="Calibri" w:hAnsi="Times New Roman" w:cs="Times New Roman"/>
          <w:bCs/>
          <w:noProof/>
          <w:sz w:val="28"/>
          <w:szCs w:val="28"/>
        </w:rPr>
        <w:fldChar w:fldCharType="end"/>
      </w:r>
    </w:p>
    <w:p w:rsidR="0042058C" w:rsidRPr="0042058C" w:rsidRDefault="0042058C" w:rsidP="0042058C">
      <w:pPr>
        <w:keepNext/>
        <w:spacing w:after="0" w:line="240" w:lineRule="auto"/>
        <w:jc w:val="center"/>
        <w:rPr>
          <w:rFonts w:ascii="Times New Roman" w:eastAsia="Times New Roman" w:hAnsi="Times New Roman" w:cs="Times New Roman"/>
          <w:bCs/>
          <w:sz w:val="28"/>
          <w:szCs w:val="28"/>
          <w:lang w:eastAsia="ru-RU"/>
        </w:rPr>
      </w:pPr>
      <w:r w:rsidRPr="0042058C">
        <w:rPr>
          <w:rFonts w:ascii="Times New Roman" w:eastAsia="Calibri" w:hAnsi="Times New Roman" w:cs="Times New Roman"/>
          <w:bCs/>
          <w:sz w:val="28"/>
          <w:szCs w:val="28"/>
        </w:rPr>
        <w:t>Планировочная структура и пространственно-планировочная организация территории Труновского муниципального округа</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Планировочные оси 2-го порядка образуют автомобильные дороги местного значения, выполняющие вспомогательные функции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 xml:space="preserve">и обеспечивающие связи между населенными пунктами округа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и прилегающими муниципальными образованиями Ставропольского края.</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Неравномерность пространственного освоения территории проявляется, в том числе, и в различной степени градостроительного освоения территории и ее градостроительной ценности (рисунок).</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Наибольшим (максимальным) градостроительным потенциалом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 xml:space="preserve">по совокупности условий (доля в населении, доля в площади, количество хозяйствующих субъектов, уровень обеспеченности транспортной инфраструктурой) обладают Донской, Безопасненский и Труновский территориальные управления. </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Факторами, усиливающими их высокую градостроительную ценность, являются положение в границах транспортных коридоров –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на автомобильных дорогах общего пользования регионального значения, близость к центру Ставропольской агломерации 1-го порядка – городу Ставрополю.</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Относительно высокий (повышенный) градостроительный потенциал имеет территория территориального управления пос. им. Кирова. </w:t>
      </w:r>
    </w:p>
    <w:p w:rsidR="0042058C" w:rsidRPr="0042058C" w:rsidRDefault="0042058C" w:rsidP="0042058C">
      <w:pPr>
        <w:autoSpaceDN w:val="0"/>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Остальные территориальные управления имеют относительно низкую градостроительную ценность (в сравнении с обозначенными выше). Они, как правило, узко специализированы, занимают периферийное положение </w:t>
      </w:r>
      <w:r w:rsidR="002928A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в пределах округа, обладают относительно слабыми внешними социально-экономическими связями. Для данной группы территориальных отделов природные условия (первую очередь, рельеф и инженерно-геологические условия) выступают ограничивающим (понижающим) фактором градостроительной ценности и градостроительного потенциала.</w:t>
      </w:r>
    </w:p>
    <w:p w:rsidR="0042058C" w:rsidRPr="0042058C" w:rsidRDefault="0042058C" w:rsidP="002928A5">
      <w:pPr>
        <w:spacing w:after="0"/>
        <w:ind w:firstLine="709"/>
        <w:jc w:val="both"/>
        <w:outlineLvl w:val="1"/>
        <w:rPr>
          <w:rFonts w:ascii="Times New Roman" w:eastAsia="Calibri" w:hAnsi="Times New Roman" w:cs="Times New Roman"/>
          <w:sz w:val="28"/>
          <w:szCs w:val="28"/>
        </w:rPr>
      </w:pPr>
      <w:bookmarkStart w:id="64" w:name="_Toc85173308"/>
      <w:r w:rsidRPr="0042058C">
        <w:rPr>
          <w:rFonts w:ascii="Times New Roman" w:eastAsia="Calibri" w:hAnsi="Times New Roman" w:cs="Times New Roman"/>
          <w:sz w:val="28"/>
          <w:szCs w:val="28"/>
        </w:rPr>
        <w:t xml:space="preserve">2. </w:t>
      </w:r>
      <w:bookmarkEnd w:id="64"/>
      <w:r w:rsidRPr="0042058C">
        <w:rPr>
          <w:rFonts w:ascii="Times New Roman" w:eastAsia="Calibri" w:hAnsi="Times New Roman" w:cs="Times New Roman"/>
          <w:sz w:val="28"/>
          <w:szCs w:val="28"/>
        </w:rPr>
        <w:t xml:space="preserve">Труновский муниципальный округ относится к сложившейся территории северо-западной части Ставропольского края, которая входит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состав Ставропольского городской агломерации.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Эта система образует градостроительную структуру со сложным сочетанием зон с различным функциональным и режимным назначением.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Территория этой части Ставропольского края имеет развитую транспортную систему – международный аэропорт (в Ставрополе), автодороги общего пользования федерального, регионального и местного значения.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Обширные территории муниципального округа заняты сельскохозяйственными угодьями и сельскими населенными пунктами, расположенными вдоль основных естественных и антропогенных планировочных осей.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Градостроительное развитие планировочной структуры территории Труновского муниципального округа будет происходить в соответствии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перспективами и целевым</w:t>
      </w:r>
      <w:r w:rsidR="00C952A3">
        <w:rPr>
          <w:rFonts w:ascii="Times New Roman" w:eastAsia="Calibri" w:hAnsi="Times New Roman" w:cs="Times New Roman"/>
          <w:sz w:val="28"/>
          <w:szCs w:val="28"/>
        </w:rPr>
        <w:t>и установками, определенными в с</w:t>
      </w:r>
      <w:r w:rsidRPr="0042058C">
        <w:rPr>
          <w:rFonts w:ascii="Times New Roman" w:eastAsia="Calibri" w:hAnsi="Times New Roman" w:cs="Times New Roman"/>
          <w:sz w:val="28"/>
          <w:szCs w:val="28"/>
        </w:rPr>
        <w:t xml:space="preserve">хеме территориального планирования Ставропольского края, а также в контексте развития и влияния Ставропольской агломерации, в первую очередь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ее главного центра – города Ставрополя.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Компактность территории, ее высокая степень освоенности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«сближенность» населенных пунктов составляет одну из основных планировочных особенностей территориальной структуры расселения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хозяйства муниципального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Одной из задач развития планировочной структуры сельских территорий округа, является ее урбанизация – создание (развитие) городских условий жизни на сельских территориях. Зона урбанизации – земли населенных пунктов, а также зоны перспективного градостроительного развития.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первую очередь речь идет о повышении информационного, социально-культурного и средового потенциалов сельских территорий, позволяющих использовать во всех сферах хозяйственной деятельности новейшие технологии и управленческие модели.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территории Труновского муниципального округа продолжится тенденция формирования урбанизированного каркаса, который включает: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населенные пункты, имеющие дифференцированную систему опорных центров, культурно-бытового обслуживания, инженерного оборудования, мест приложения труда;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концентрация населенных пунктов вдоль транспортно-планировочных и природно-планировочных осей;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расширение сфер приложения труда с увеличением количества рабочих мест и разнообразием их выбора, с учетом агломерационного эффекта </w:t>
      </w:r>
      <w:r w:rsidR="00F62636">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вовлечения трудовых ресурсов Труновского муниципального округа </w:t>
      </w:r>
      <w:r w:rsidR="00F62636">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трудоресурсные связи с центрами Ставропольской агломерации;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и коммунальные услуги, услуги транспорта, связи и т.д.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Сложившаяся территориальная организация Труновского муниципального округа представляет собой четкую планировочную структуру, основными элементами которой являются: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главные планировочные оси – основные транспортные магистрали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линейные природные объекты;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планировочные центры: главный – центр муниципального округа – село Донское, и второстепенные – сельские населенные пункты – центры территориальных отделов и крупные села;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планировочные зоны – обширные территории с резко выраженными особенностями (зоны орошения), зоны градостроительного освоения территории.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Планировочные оси. Планировочная структура Труновского муниципального округа определяется главными и второстепенными территориальными планировочными связями, представляющими направление экономических связей между главным полифункциональным центром края – городом Ставрополем и центрами Ставропольской агломерации 3-го порядка – Михайловском и Изобильным.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Особое влияние на планировочную структуру округа и ее дальнейшее развитие будут оказывать направления связей самого округа, Ставрополя,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других муниципальных образований Ставропольского края в рамках урбанизированных ареалов градостроительной активности.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Планировочный каркас составляют существующие транспортные магистрали, проходящие в меридиональном и широтном направлениях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расположенные на них основные планировочные центры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Главными планировочными осями муниципального округа являются автомобильные дороги общего пользования регионального значения, проходящие транзитом через территорию округа в меридиональном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широтном направлениях.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Подчиненными планировочными осями являются муниципальные автомобильные дороги меридионального и широтного направлений, связывающие между собой группы сельских поселений и природные оси. Остальные местные автодороги осуществляют связь между центрами территориальных отделов и населенными пунктами.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Роль и значение планировочных осей на расчетный срок усиливается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связи с увеличением объемов транзитных грузоперевозок в направлении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Ростов-на-Дону.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Улучшение типа покрытия автомобильных дорог обеспечит бесперебойную доставку грузов в любое время года как в главный планировочный центр округа – село Донское, так и во второстепенные планировочные центры (с. Безопасное, с. Труновское и др.).</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К расчетному сроку (до 2041 года) на территории муниципального округа появится ряд новых планировочных элементов (как правило, объектов придорожного сервиса), связанных со строительством и реконструкцией автомобильных дорог, которые окажут влияние на планировочную структуру территории в целом.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Планировочные центры. Главный планировочный центр округа – село Донское, располагается в географическом центре территории, связан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другими центрами Ставропольского края и центрами других регионов автодорогами общего пользования федерального и регионального 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Дополнительными (подчиненными) центрами являются центры территориальных отделов (бывш. сельских поселений) в том числе большие и крупные населенные пункты с населением более 1000 человек.</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Практически каждый территориальный отдел имеет опорные центры            3 ранга с нормативно развитой системой культурно-бытового обслуживания и производственными функциями первичной переработки сельскохозяйственной продукции.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Таким образом, основными направлениями планировочного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градостроительного развития Труновского муниципального округа </w:t>
      </w:r>
      <w:r w:rsidR="002928A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соответствии с настоящим проектом генерального плана являются: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развитие сложившейся единой системы расселения с центром в селе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усиление центров 2 ранга (окружного уровня) – с. </w:t>
      </w:r>
      <w:proofErr w:type="gramStart"/>
      <w:r w:rsidRPr="0042058C">
        <w:rPr>
          <w:rFonts w:ascii="Times New Roman" w:eastAsia="Calibri" w:hAnsi="Times New Roman" w:cs="Times New Roman"/>
          <w:sz w:val="28"/>
          <w:szCs w:val="28"/>
        </w:rPr>
        <w:t xml:space="preserve">Безопасное,   </w:t>
      </w:r>
      <w:proofErr w:type="gramEnd"/>
      <w:r w:rsidRPr="0042058C">
        <w:rPr>
          <w:rFonts w:ascii="Times New Roman" w:eastAsia="Calibri" w:hAnsi="Times New Roman" w:cs="Times New Roman"/>
          <w:sz w:val="28"/>
          <w:szCs w:val="28"/>
        </w:rPr>
        <w:t xml:space="preserve">                    с. Труновское, с. Подлесное, пос. им. Кирова;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развитие территориальных отделов с опорными центрами 3 ранга (локального уровня), кооперирующих базовые школы, предприятия первичной переработки, хранения и сбыта сельхозпродукции, учреждений           1 и 2 ступени обслуживания, в целях совершенствования культурно-бытового и коммунального обслуживания;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совершенствование социальной и инженерно-транспортной инфраструктуры, как отдельных населенных пунктов, так и округа в целом, отдавая предпочтение на первоначальном этапе развитию опорных центров 1, 2 и 3 рангов;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развитие индивидуального жилищного строительства и системы коммунального обслуживания, осуществление контроля над качеством застройки и архитектурного облика населенных пунктов в составе муниципального округа в рамках единого концептуального решения – формирование бренда Труновского муниципального округа.</w:t>
      </w:r>
    </w:p>
    <w:p w:rsidR="0042058C" w:rsidRPr="0042058C" w:rsidRDefault="0042058C" w:rsidP="0042058C">
      <w:pPr>
        <w:spacing w:after="0"/>
        <w:ind w:firstLine="709"/>
        <w:jc w:val="both"/>
        <w:rPr>
          <w:rFonts w:ascii="Times New Roman" w:eastAsia="Arial" w:hAnsi="Times New Roman" w:cs="Times New Roman"/>
          <w:sz w:val="28"/>
          <w:szCs w:val="28"/>
        </w:rPr>
      </w:pPr>
      <w:r w:rsidRPr="0042058C">
        <w:rPr>
          <w:rFonts w:ascii="Times New Roman" w:eastAsia="Calibri" w:hAnsi="Times New Roman" w:cs="Times New Roman"/>
          <w:sz w:val="28"/>
          <w:szCs w:val="28"/>
        </w:rPr>
        <w:t xml:space="preserve">Функциональное зонирование. </w:t>
      </w:r>
      <w:r w:rsidRPr="0042058C">
        <w:rPr>
          <w:rFonts w:ascii="Times New Roman" w:eastAsia="Arial" w:hAnsi="Times New Roman" w:cs="Times New Roman"/>
          <w:sz w:val="28"/>
          <w:szCs w:val="28"/>
        </w:rPr>
        <w:t xml:space="preserve">Структура функционального зонирования настоящего генерального плана определена градостроительным зданием на подготовку проекта и впоследствии скорректирована </w:t>
      </w:r>
      <w:r w:rsidR="005220F5">
        <w:rPr>
          <w:rFonts w:ascii="Times New Roman" w:eastAsia="Arial" w:hAnsi="Times New Roman" w:cs="Times New Roman"/>
          <w:sz w:val="28"/>
          <w:szCs w:val="28"/>
        </w:rPr>
        <w:t xml:space="preserve">                           </w:t>
      </w:r>
      <w:r w:rsidRPr="0042058C">
        <w:rPr>
          <w:rFonts w:ascii="Times New Roman" w:eastAsia="Arial" w:hAnsi="Times New Roman" w:cs="Times New Roman"/>
          <w:sz w:val="28"/>
          <w:szCs w:val="28"/>
        </w:rPr>
        <w:t>в соответствии с договором на разработку проекта.</w:t>
      </w:r>
    </w:p>
    <w:p w:rsidR="0042058C" w:rsidRPr="0042058C" w:rsidRDefault="0042058C" w:rsidP="0042058C">
      <w:pPr>
        <w:spacing w:after="0"/>
        <w:ind w:firstLine="709"/>
        <w:jc w:val="both"/>
        <w:rPr>
          <w:rFonts w:ascii="Times New Roman" w:eastAsia="Arial" w:hAnsi="Times New Roman" w:cs="Times New Roman"/>
          <w:sz w:val="28"/>
          <w:szCs w:val="28"/>
        </w:rPr>
      </w:pPr>
      <w:r w:rsidRPr="0042058C">
        <w:rPr>
          <w:rFonts w:ascii="Times New Roman" w:eastAsia="Arial" w:hAnsi="Times New Roman" w:cs="Times New Roman"/>
          <w:sz w:val="28"/>
          <w:szCs w:val="28"/>
        </w:rPr>
        <w:t xml:space="preserve">На территории муниципального округа настоящим проектом генерального плана выделяются следующие функциональные зоны: </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 xml:space="preserve">жилого назначения; </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 xml:space="preserve">общественно-делового назначения; </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производственная зона;</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инженерной инфраструктуры;</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транспортной инфраструктуры;</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сельскохозяйственного назначения;</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сельскохозяйственного использования</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рекреационного использования;</w:t>
      </w:r>
    </w:p>
    <w:p w:rsidR="0042058C" w:rsidRPr="0042058C" w:rsidRDefault="0042058C" w:rsidP="0042058C">
      <w:pPr>
        <w:tabs>
          <w:tab w:val="left" w:pos="993"/>
        </w:tabs>
        <w:spacing w:after="0"/>
        <w:ind w:left="709"/>
        <w:jc w:val="both"/>
        <w:rPr>
          <w:rFonts w:ascii="Times New Roman" w:eastAsia="Arial" w:hAnsi="Times New Roman" w:cs="Times New Roman"/>
          <w:sz w:val="28"/>
          <w:szCs w:val="28"/>
          <w:lang w:eastAsia="ru-RU"/>
        </w:rPr>
      </w:pPr>
      <w:r w:rsidRPr="0042058C">
        <w:rPr>
          <w:rFonts w:ascii="Times New Roman" w:eastAsia="Arial" w:hAnsi="Times New Roman" w:cs="Times New Roman"/>
          <w:sz w:val="28"/>
          <w:szCs w:val="28"/>
          <w:lang w:eastAsia="ru-RU"/>
        </w:rPr>
        <w:t>специального назначения.</w:t>
      </w:r>
    </w:p>
    <w:p w:rsidR="0042058C" w:rsidRPr="0042058C" w:rsidRDefault="0042058C" w:rsidP="0042058C">
      <w:pPr>
        <w:spacing w:after="0"/>
        <w:ind w:firstLine="709"/>
        <w:jc w:val="both"/>
        <w:rPr>
          <w:rFonts w:ascii="Times New Roman" w:eastAsia="Arial" w:hAnsi="Times New Roman" w:cs="Times New Roman"/>
          <w:sz w:val="28"/>
          <w:szCs w:val="28"/>
        </w:rPr>
      </w:pPr>
      <w:r w:rsidRPr="0042058C">
        <w:rPr>
          <w:rFonts w:ascii="Times New Roman" w:eastAsia="Arial" w:hAnsi="Times New Roman" w:cs="Times New Roman"/>
          <w:sz w:val="28"/>
          <w:szCs w:val="28"/>
        </w:rPr>
        <w:t>Кроме того, на территории Труновского муниципального округа выделяются земли лесного фонда, водного фонда.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Проектные предложения предусматривают проведение ряда мероприятий по дальнейшему упорядочению функционального зонирования территории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Проектный анализ, выполненный в рамках настоящего проекта генерального плана Труновского муниципального округа, позволил провести структурно-градостроительное зонирование территории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Основное место и ведущее значение в округе занимает зона основного градостроительного освоения территории. Эта зона включает в себя,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первую очередь, территории села Донского (1500 га), села Безопасного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села Труновского, а также площадки объектов капитального строительства и инвестиционные площадки на территории округа.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Зона представляется наиболее перспективной для развития жилых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общественно-деловых зон, размещения агропромышленных объектов, промышленности, с учетом охраны природы и объектов культурного наследия.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Зона преимущественного градостроительного освоения (жилищно-гражданского, агропромышленного, коммунального строительства), формируется в пределах административного и градостроительного центра округа – села Донского, опорных центров 2 и 3 ранга, вдоль автомобильных дорог общего пользования регионального и муниципального значений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направлениям: на Ростов-на-Дону и на Ставрополь, на Изобильный, Светлоград и Ипатово.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Около 90% территории муниципального округа – это земли сельскохозяйственного назначения и использования, что определяет направления градостроительного освоения территории.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характеристике численности и плотности сельского населения интересно обратить внимание на плотность населения внутри крупных населённых пунктов. Для них характерно неравномерное распределение населения в пределах застроенной территории.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 центру плотность застройки возрастает, улицы становятся более узкими, что приводит к росту плотности населения. Ближе к окраинам застройка и уличная сеть приобретает нерегулярный характер, сплошной массив застройки распадается.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Наибольшая плотность наблюдается в наиболее крупных сельских населенных пунктах округа – с. Донском, с. Безопасном, с Труновском,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Подлесном и пос. им. Кирова.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все типы зон градостроительной и хозяйственной деятельности устанавливаются ограничения на использование территории: санитарно-защитные зоны, водоохранные зоны и прибрежные полосы, технические коридоры ЛЭП, зоны охраны объектов культурного наследия, иные зоны, установленные в соответствии с законодательством РФ.</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Настоящим проектом генерального плана предполагается сохранение сложившихся тенденций.</w:t>
      </w:r>
    </w:p>
    <w:p w:rsidR="0042058C" w:rsidRPr="0042058C" w:rsidRDefault="0042058C" w:rsidP="0042058C">
      <w:pPr>
        <w:spacing w:after="0"/>
        <w:ind w:firstLine="708"/>
        <w:jc w:val="both"/>
        <w:outlineLvl w:val="1"/>
        <w:rPr>
          <w:rFonts w:ascii="Times New Roman" w:eastAsia="Calibri" w:hAnsi="Times New Roman" w:cs="Times New Roman"/>
          <w:sz w:val="28"/>
          <w:szCs w:val="28"/>
        </w:rPr>
      </w:pPr>
      <w:bookmarkStart w:id="65" w:name="_Toc85173309"/>
      <w:r w:rsidRPr="0042058C">
        <w:rPr>
          <w:rFonts w:ascii="Times New Roman" w:eastAsia="Calibri" w:hAnsi="Times New Roman" w:cs="Times New Roman"/>
          <w:sz w:val="28"/>
          <w:szCs w:val="28"/>
        </w:rPr>
        <w:t>3. Перечень объектов федерального значения и объектов регионального значения: характеристики, местоположение, зоны с особыми условиями использования территорий</w:t>
      </w:r>
      <w:bookmarkEnd w:id="65"/>
      <w:r w:rsidRPr="0042058C">
        <w:rPr>
          <w:rFonts w:ascii="Times New Roman" w:eastAsia="Calibri" w:hAnsi="Times New Roman" w:cs="Times New Roman"/>
          <w:sz w:val="28"/>
          <w:szCs w:val="28"/>
        </w:rPr>
        <w:t>.</w:t>
      </w:r>
    </w:p>
    <w:p w:rsidR="0042058C" w:rsidRPr="0042058C" w:rsidRDefault="0042058C" w:rsidP="0042058C">
      <w:pPr>
        <w:spacing w:after="0"/>
        <w:ind w:firstLine="708"/>
        <w:jc w:val="both"/>
        <w:outlineLvl w:val="2"/>
        <w:rPr>
          <w:rFonts w:ascii="Times New Roman" w:eastAsia="Calibri" w:hAnsi="Times New Roman" w:cs="Times New Roman"/>
          <w:sz w:val="28"/>
          <w:szCs w:val="28"/>
        </w:rPr>
      </w:pPr>
      <w:bookmarkStart w:id="66" w:name="_Toc85173310"/>
      <w:r w:rsidRPr="0042058C">
        <w:rPr>
          <w:rFonts w:ascii="Times New Roman" w:eastAsia="Calibri" w:hAnsi="Times New Roman" w:cs="Times New Roman"/>
          <w:sz w:val="28"/>
          <w:szCs w:val="28"/>
        </w:rPr>
        <w:t>1</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Объекты федерального значения</w:t>
      </w:r>
      <w:bookmarkEnd w:id="66"/>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Документами территориального планирования федерального уровня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не предусмотрены к реализации объекты федерального значения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территории Труновского муниципального округа.</w:t>
      </w:r>
    </w:p>
    <w:p w:rsidR="0042058C" w:rsidRPr="0042058C" w:rsidRDefault="0042058C" w:rsidP="0042058C">
      <w:pPr>
        <w:spacing w:after="0"/>
        <w:ind w:left="567" w:firstLine="142"/>
        <w:jc w:val="both"/>
        <w:outlineLvl w:val="2"/>
        <w:rPr>
          <w:rFonts w:ascii="Times New Roman" w:eastAsia="Calibri" w:hAnsi="Times New Roman" w:cs="Times New Roman"/>
          <w:sz w:val="28"/>
          <w:szCs w:val="28"/>
        </w:rPr>
      </w:pPr>
      <w:bookmarkStart w:id="67" w:name="_Toc49855813"/>
      <w:bookmarkStart w:id="68" w:name="_Toc85173311"/>
      <w:r w:rsidRPr="0042058C">
        <w:rPr>
          <w:rFonts w:ascii="Times New Roman" w:eastAsia="Calibri" w:hAnsi="Times New Roman" w:cs="Times New Roman"/>
          <w:sz w:val="28"/>
          <w:szCs w:val="28"/>
        </w:rPr>
        <w:t>2</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Объекты регионального значения</w:t>
      </w:r>
      <w:bookmarkEnd w:id="67"/>
      <w:bookmarkEnd w:id="68"/>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территории Труновского муниципального округа планируются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к размещению 25 объектов регионального значения, относящихся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 различным отраслям. Основанием для размещения этих объектов является Схема территориального планирования Ставропольского края, Краевая адресная инвестиционная программа и другие документы регионального уровня:</w:t>
      </w:r>
    </w:p>
    <w:p w:rsidR="0042058C" w:rsidRPr="0042058C" w:rsidRDefault="0042058C" w:rsidP="005220F5">
      <w:pPr>
        <w:tabs>
          <w:tab w:val="left" w:pos="709"/>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распределительный газопровод низкого давления, с. Донское,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ул. Титова;</w:t>
      </w:r>
    </w:p>
    <w:p w:rsidR="0042058C" w:rsidRPr="0042058C" w:rsidRDefault="0042058C" w:rsidP="005220F5">
      <w:pPr>
        <w:tabs>
          <w:tab w:val="left" w:pos="709"/>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распределительный газопровод низкого давления, с. Донское, </w:t>
      </w:r>
      <w:r w:rsidR="005220F5">
        <w:rPr>
          <w:rFonts w:ascii="Times New Roman" w:eastAsia="Calibri" w:hAnsi="Times New Roman" w:cs="Times New Roman"/>
          <w:sz w:val="28"/>
          <w:szCs w:val="28"/>
        </w:rPr>
        <w:t xml:space="preserve">                    от </w:t>
      </w:r>
      <w:r w:rsidRPr="0042058C">
        <w:rPr>
          <w:rFonts w:ascii="Times New Roman" w:eastAsia="Calibri" w:hAnsi="Times New Roman" w:cs="Times New Roman"/>
          <w:sz w:val="28"/>
          <w:szCs w:val="28"/>
        </w:rPr>
        <w:t>ул. Садовой до ул. Ворошилова;</w:t>
      </w:r>
    </w:p>
    <w:p w:rsidR="0042058C" w:rsidRPr="0042058C" w:rsidRDefault="0042058C" w:rsidP="005220F5">
      <w:pPr>
        <w:tabs>
          <w:tab w:val="left" w:pos="709"/>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Медвеженской ВЭС;</w:t>
      </w:r>
    </w:p>
    <w:p w:rsidR="0042058C" w:rsidRPr="0042058C" w:rsidRDefault="0042058C" w:rsidP="005220F5">
      <w:pPr>
        <w:tabs>
          <w:tab w:val="left" w:pos="709"/>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ПС 110 кВ Соленоозерская;</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строительство ВЛ 110 кВ Дмитриевская - Баклановская с отпайкой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ПС 110 кВ Соленоозерская;</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с. Труновское, по пл. Трунова от № 11 до № 1;</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с. Труновское, по ул. Ленина от № 21 до № 19;</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с. Труновское, по ул. Партизанская от № 59 до № 69;</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с. Труновское, по пер. Дружный от ул. Терновской до № 8;</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с. Труновское, по пер. Учительский от № 9 до № 11;</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подъезда к п. Правоегорлыкский от автомобильной дороги Ипатово - Золотаревка – Добровольное;</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устройство искусственного электроосвещения на участке автомобильной дороги Изобильный - Труновское - Кугульта, км 19+250 -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км 24+250;</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автомобильной дороги Изобильный - Труновское - Кугульта, км 35+580 - км 46+220 (второй, третий этапы строительства);</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Ростов-на-Дону (от М-4 «Дон») – Ставрополь (в границах Ставропольского края), в том числе: км 242+500 – км 245+500; км 245+890 – км 248+890; км 248+890 – км 252+890;</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закладка сада для промышленного производства плодов;</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инновационного индустриального животноводческого комплекса по производству молока;</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хранилища для фруктов с цехом сортировки и упаковки.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Полный перечень объектов регионального значения отражен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положении о территориальном планировании.</w:t>
      </w:r>
    </w:p>
    <w:p w:rsidR="0042058C" w:rsidRPr="0042058C" w:rsidRDefault="0042058C" w:rsidP="0042058C">
      <w:pPr>
        <w:spacing w:after="0"/>
        <w:ind w:firstLine="708"/>
        <w:jc w:val="both"/>
        <w:outlineLvl w:val="1"/>
        <w:rPr>
          <w:rFonts w:ascii="Times New Roman" w:eastAsia="Calibri" w:hAnsi="Times New Roman" w:cs="Times New Roman"/>
          <w:sz w:val="28"/>
          <w:szCs w:val="28"/>
        </w:rPr>
      </w:pPr>
      <w:bookmarkStart w:id="69" w:name="_Toc85173312"/>
      <w:r w:rsidRPr="0042058C">
        <w:rPr>
          <w:rFonts w:ascii="Times New Roman" w:eastAsia="Calibri" w:hAnsi="Times New Roman" w:cs="Times New Roman"/>
          <w:sz w:val="28"/>
          <w:szCs w:val="28"/>
        </w:rPr>
        <w:t>3</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Перечень объектов местного значения: основные характеристики, местоположение, характеристики зон с особыми условиями использования территорий</w:t>
      </w:r>
      <w:bookmarkEnd w:id="69"/>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руководителями территориальных отделов в составе округа, отделами администраций и жителями Труновского муниципального округа.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образования: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создание учебно-делового центра развития малого предпринимательства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дошкольного образовательного учреждения на 100 мест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МКДОУ д/с №4 «Калинка» в с. Новая Кугульта.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культуры: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дома культуры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создание центра привлечения талантливой молодежи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клуба участка № 4 СХП ТОО им. М. Горького,                     в с. Безопасном;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клуба участка № 4 СПК «Колхоз им. Ворошилова»               в с. Безопасном;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строительства клуба в х. Эммануэлевском;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новых помещений сельского Дома культуры                             в пос. им. Кирова.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физической культуры и спорта: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спортивного ядра на 500 мест в с. Безопасное,                       ул. Ленина 108;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плавательного бассейн</w:t>
      </w:r>
      <w:r w:rsidR="005220F5">
        <w:rPr>
          <w:rFonts w:ascii="Times New Roman" w:eastAsia="Calibri" w:hAnsi="Times New Roman" w:cs="Times New Roman"/>
          <w:sz w:val="28"/>
          <w:szCs w:val="28"/>
        </w:rPr>
        <w:t>а в с. Донском, ул. Комарова 3 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стадиона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физкультурно-оздоровительного комплекса                                  в с. Донском;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в с. Донском, МКОУ ООШ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6                  ул. Пролетарская 93а/1;</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в с. Донском, МБОУ Гимназия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7, пер. Донской 38;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Донское, МКУ ДО ДЮСШ                      ул. Комарова 6а;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спортивного ядра, с. Безопасное, ул. Ленина 108;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Безопасное МКОУ СОШ № 3,                   ул. Комарова 3</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спортивного ядра, 500 мест, пос. им. Кирова,                            ул. Молодежная;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пос. им. Кирова. МКОУ СОШ № 4                    ул. Школьная 28;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Новая Кугульта ул. Гагарина 20;</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Подлесное ул. Садовая 18 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спортивного ядра, 500 мест, с. Труновское,                              ул. Кузнечная 1г;</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Труновское, МКОУ СОШ № 2         ул. Ленина 11;</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Труновское, МКОУ ООШ № 8,                 ул. Лермонтова 137;</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комплексных спортивных площадок                                            в общеобразовательных учреждениях, с. Труновское, МКОУ ООШ № 9,                ул. Ленина 130.</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Объекты благоустройства: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размещение общественного стационарного отапливаемого туалета                с дополнительным оборудованием для лиц с ограниченными возможностями, с. Донское;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х. Самбуров, ул. Крестьянская, д.65;</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с. Донское, ул. Тимирязева, д.3;</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благоустройство объекта культурного наследия «Братская могила красных партизан, погибших в годы гражданской войны, и воинов, погибших в годы Великой отечественной войны», с. Безопасное, ул. Ленина;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благоустройство парка, с. Безопасное, ул. Парковая;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с. Безопасное, центр села;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памятника (стелы) воинам, погибшим в годы ВОВ,                    с. Труновское, ул. Ленина, 4В;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пос. им. Кирова, ул. Южная;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пос. им. Кирова, ул. Новая;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п. Правоегорлыкский, ул. Советская;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детская площадка, п. Нижняя Терновка, ул. Луговая;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благоустройство территории, пос. им. Кирова, центр;</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благоустройство территории филиала МКОУ СОШ №5, с. Новая Кугульта, ул. Ленина, д.2.</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Полный перечень объектов местного значения представлен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Положении о территориальном планировании настоящего проекта.</w:t>
      </w:r>
    </w:p>
    <w:p w:rsidR="0042058C" w:rsidRPr="0042058C" w:rsidRDefault="0042058C" w:rsidP="0042058C">
      <w:pPr>
        <w:autoSpaceDE w:val="0"/>
        <w:autoSpaceDN w:val="0"/>
        <w:adjustRightInd w:val="0"/>
        <w:spacing w:after="0" w:line="240" w:lineRule="auto"/>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ab/>
      </w:r>
    </w:p>
    <w:p w:rsidR="0042058C" w:rsidRPr="0042058C" w:rsidRDefault="0042058C" w:rsidP="005220F5">
      <w:pPr>
        <w:spacing w:after="0"/>
        <w:ind w:firstLine="708"/>
        <w:jc w:val="both"/>
        <w:outlineLvl w:val="0"/>
        <w:rPr>
          <w:rFonts w:ascii="Times New Roman" w:eastAsia="Calibri" w:hAnsi="Times New Roman" w:cs="Times New Roman"/>
          <w:b/>
          <w:sz w:val="28"/>
          <w:szCs w:val="28"/>
        </w:rPr>
      </w:pPr>
      <w:bookmarkStart w:id="70" w:name="_Toc85173313"/>
      <w:r w:rsidRPr="0042058C">
        <w:rPr>
          <w:rFonts w:ascii="Times New Roman" w:eastAsia="Calibri" w:hAnsi="Times New Roman" w:cs="Times New Roman"/>
          <w:b/>
          <w:sz w:val="28"/>
          <w:szCs w:val="28"/>
        </w:rPr>
        <w:t xml:space="preserve">Статья </w:t>
      </w:r>
      <w:r w:rsidR="00C952A3">
        <w:rPr>
          <w:rFonts w:ascii="Times New Roman" w:eastAsia="Calibri" w:hAnsi="Times New Roman" w:cs="Times New Roman"/>
          <w:b/>
          <w:sz w:val="28"/>
          <w:szCs w:val="28"/>
        </w:rPr>
        <w:t>7</w:t>
      </w:r>
      <w:r w:rsidRPr="0042058C">
        <w:rPr>
          <w:rFonts w:ascii="Times New Roman" w:eastAsia="Calibri" w:hAnsi="Times New Roman" w:cs="Times New Roman"/>
          <w:b/>
          <w:sz w:val="28"/>
          <w:szCs w:val="28"/>
        </w:rPr>
        <w:t xml:space="preserve">. Оценка возможного влияния планируемых для размещения объектов местного значения Труновского муниципального округа на </w:t>
      </w:r>
      <w:bookmarkEnd w:id="70"/>
      <w:r w:rsidRPr="0042058C">
        <w:rPr>
          <w:rFonts w:ascii="Times New Roman" w:eastAsia="Calibri" w:hAnsi="Times New Roman" w:cs="Times New Roman"/>
          <w:b/>
          <w:sz w:val="28"/>
          <w:szCs w:val="28"/>
        </w:rPr>
        <w:t>комплексное развитие территорий</w:t>
      </w:r>
    </w:p>
    <w:p w:rsidR="0042058C" w:rsidRPr="0042058C" w:rsidRDefault="0042058C" w:rsidP="0042058C">
      <w:pPr>
        <w:spacing w:after="0"/>
        <w:jc w:val="both"/>
        <w:outlineLvl w:val="0"/>
        <w:rPr>
          <w:rFonts w:ascii="Times New Roman" w:eastAsia="Calibri" w:hAnsi="Times New Roman" w:cs="Times New Roman"/>
          <w:b/>
          <w:sz w:val="28"/>
          <w:szCs w:val="28"/>
        </w:rPr>
      </w:pPr>
    </w:p>
    <w:p w:rsidR="0042058C" w:rsidRPr="0042058C" w:rsidRDefault="0042058C" w:rsidP="005220F5">
      <w:pPr>
        <w:spacing w:after="0"/>
        <w:ind w:firstLine="709"/>
        <w:jc w:val="both"/>
        <w:outlineLvl w:val="1"/>
        <w:rPr>
          <w:rFonts w:ascii="Times New Roman" w:eastAsia="Times New Roman" w:hAnsi="Times New Roman" w:cs="Times New Roman"/>
          <w:sz w:val="28"/>
          <w:szCs w:val="28"/>
        </w:rPr>
      </w:pPr>
      <w:bookmarkStart w:id="71" w:name="_Toc85173314"/>
      <w:r w:rsidRPr="0042058C">
        <w:rPr>
          <w:rFonts w:ascii="Times New Roman" w:eastAsia="Calibri" w:hAnsi="Times New Roman" w:cs="Times New Roman"/>
          <w:sz w:val="28"/>
          <w:szCs w:val="28"/>
        </w:rPr>
        <w:t xml:space="preserve">1. </w:t>
      </w:r>
      <w:bookmarkEnd w:id="71"/>
      <w:r w:rsidRPr="0042058C">
        <w:rPr>
          <w:rFonts w:ascii="Times New Roman" w:eastAsia="Times New Roman" w:hAnsi="Times New Roman" w:cs="Times New Roman"/>
          <w:sz w:val="28"/>
          <w:szCs w:val="28"/>
        </w:rPr>
        <w:t xml:space="preserve">В настоящее время демографическая ситуация в регионе </w:t>
      </w:r>
      <w:r w:rsidR="005220F5">
        <w:rPr>
          <w:rFonts w:ascii="Times New Roman" w:eastAsia="Times New Roman" w:hAnsi="Times New Roman" w:cs="Times New Roman"/>
          <w:sz w:val="28"/>
          <w:szCs w:val="28"/>
        </w:rPr>
        <w:t xml:space="preserve">                         </w:t>
      </w:r>
      <w:r w:rsidRPr="0042058C">
        <w:rPr>
          <w:rFonts w:ascii="Times New Roman" w:eastAsia="Times New Roman" w:hAnsi="Times New Roman" w:cs="Times New Roman"/>
          <w:sz w:val="28"/>
          <w:szCs w:val="28"/>
        </w:rPr>
        <w:t xml:space="preserve">и муниципальном образовании оказывает значительное влияние на успешное решение задач социально-экономического развития, включая обеспечение стабильного экономического роста и роста благосостояния населения, создание эффективной социальной инфраструктуры (здравоохранение, образование, культура и физическая культуры и спорт), рынка доступного жилья и гибкого рынка труда. Демографический фактор определяет динамику числа жителей, экономически активного населения, половозрастной структуры, естественного и миграционного движения </w:t>
      </w:r>
      <w:r w:rsidR="005220F5">
        <w:rPr>
          <w:rFonts w:ascii="Times New Roman" w:eastAsia="Times New Roman" w:hAnsi="Times New Roman" w:cs="Times New Roman"/>
          <w:sz w:val="28"/>
          <w:szCs w:val="28"/>
        </w:rPr>
        <w:t xml:space="preserve">                 </w:t>
      </w:r>
      <w:r w:rsidRPr="0042058C">
        <w:rPr>
          <w:rFonts w:ascii="Times New Roman" w:eastAsia="Times New Roman" w:hAnsi="Times New Roman" w:cs="Times New Roman"/>
          <w:sz w:val="28"/>
          <w:szCs w:val="28"/>
        </w:rPr>
        <w:t>и других показателей.</w:t>
      </w:r>
    </w:p>
    <w:p w:rsidR="0042058C" w:rsidRPr="0042058C" w:rsidRDefault="0042058C" w:rsidP="0042058C">
      <w:pPr>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Для решения демографических проблем необходимо решить ряд задач:</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 xml:space="preserve">повышение уровня рождаемости за счет рождения второго ребенка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последующих детей, ориентация на многодетные семьи;</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укрепление института семьи, возрождение и сохранение традиций семейных отношений, создание системы мер государственной поддержки семей, имеющих детей;</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сокращение смертности от заболеваний за счет создания системы профилактики, ранней диагностики с применением новых технологий;</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сокращение уровня смертности и травматизма, в первую очередь, лиц трудоспособного возраста;</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сокращение уровня материнской и младенческой смертности;</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сохранение и укрепление здоровья населения, увеличение продолжительности активной жизни, создание условий для ведения здорового образа жизни;</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 xml:space="preserve">снижение уровня заболеваемости социально значимыми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представляющими опасность для окружающих заболеваниями;</w:t>
      </w:r>
      <w:r w:rsidRPr="0042058C">
        <w:rPr>
          <w:rFonts w:ascii="Times New Roman" w:eastAsia="Times New Roman" w:hAnsi="Times New Roman" w:cs="Times New Roman"/>
          <w:sz w:val="28"/>
          <w:szCs w:val="28"/>
          <w:lang w:eastAsia="ru-RU"/>
        </w:rPr>
        <w:tab/>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разработку мер, направленных на сохранение здоровья и продление трудоспособного периода жизни пожилых людей;</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 xml:space="preserve">привлечение мигрантов в соответствии с потребностями демографического и социально-экономического развития территории,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учетом необходимости их социальной адаптации и интеграции;</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разработку социально-экономических мер по повышению миграционной привлекательности территорий, из которых происходит отток населения;</w:t>
      </w:r>
    </w:p>
    <w:p w:rsidR="0042058C" w:rsidRPr="0042058C" w:rsidRDefault="0042058C" w:rsidP="0042058C">
      <w:pPr>
        <w:tabs>
          <w:tab w:val="left" w:pos="709"/>
        </w:tabs>
        <w:overflowPunct w:val="0"/>
        <w:spacing w:after="0"/>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уменьшение оттока трудоспособного населения и привлечение молодых квалифицированных специалистов.</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Демографический прогноз играет большую роль при разработке схемы территориального планирования муниципального округа, так как его главной целью является создание благоприятных условий для жизни всех групп населения и каждого человека в отдельности. Поэтому от того, как будет складываться в расчетный период демографическая ситуация во многом зависит эффективность действий местной администрации, функционирования всех отраслей экономики и инвестиционной деятельности на территории округа.</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Достоверность демографических расчетов зависит от исследуемого горизонта планирования. Верхней границей срока реального расчета,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за которой начинаются неоправданно высокие погрешности, считается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25-летний период. Вследствие этого прогнозная оценка в пределах Труновского муниципального округа проводится на этот предельный срок –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2021 по 2046 год.</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основу прогнозных расчетов демографических процессов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территории округа положены сложившиеся в последние десятилетия сдвиги в численности его населения, половой и возрастной структуре, естественном воспроизводстве, миграциях, демографической нагрузке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т.д.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Изменение демографических процессов Труновского муниципального округа происходит в тесной связи с аналогичными процессами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Ставропольском крае и стране в целом. Поэтому для прогнозирования изменения демографических показателей целесообразно ориентироваться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общекраевые и общероссийские тенденции.</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качестве исходной базы взяты, сложившиеся в округе к 2021 г., уровни рождаемости и смертности населения, его половая и возрастная структура. Расчеты проводились по пятилетним возрастным группам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разрезе входящих в него территориальных управлений.</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Расчеты были выполнены в трех вариантах – оптимистическом, среднем и пессимистическом.</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Оптимистический сценарий связан с благоприятными возможностями социально-экономического развития. Повышение уровня и качества жизни является необходимым условием снижения смертности, а рост экономической активности обеспечивает повышение миграционного прироста. В то же время положительные социально-экономические изменения не означают автоматического роста рождаемости,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а пессимистический экономический прогноз не исключает ее повышения; тем не менее, следует исходить из того, что в первом случае более высокий уровень рождаемости вероятнее, чем во втором. Этому сценарию соответствуют более высокая продолжительность жизни, высокий уровень рождаемости и достаточно высокая миграционная подвижность.</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Пессимистический сценарий демографического прогноза противоположен по своему значению. Он сочетается с неблагоприятным социально-экономическим развитием территории. Сохранение сложившейся или ухудшение экономической ситуации означает продолжение негативных тенденций в области смертности и миграции, но, в принципе, не исключает повышения рождаемости, хотя и делает его маловероятным.</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Средний вариант прогноза предполагает постепенную стабилизацию социально-экономической ситуации, но значительно более медленную, чем при оптимистическом сценарии. Это </w:t>
      </w:r>
      <w:bookmarkStart w:id="72" w:name="_Hlk48462365"/>
      <w:r w:rsidRPr="0042058C">
        <w:rPr>
          <w:rFonts w:ascii="Times New Roman" w:eastAsia="Times New Roman" w:hAnsi="Times New Roman" w:cs="Times New Roman"/>
          <w:sz w:val="28"/>
          <w:szCs w:val="28"/>
          <w:lang w:eastAsia="ru-RU"/>
        </w:rPr>
        <w:t>наиболее вероятный вариант демографического развития округа.</w:t>
      </w:r>
    </w:p>
    <w:bookmarkEnd w:id="72"/>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bookmarkStart w:id="73" w:name="_Hlk48401771"/>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1</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численности населения в Труновском муниципальном округе до 2045 г. по оптимистическому сценарию</w:t>
      </w:r>
      <w:bookmarkEnd w:id="73"/>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2824"/>
        <w:gridCol w:w="755"/>
        <w:gridCol w:w="755"/>
        <w:gridCol w:w="754"/>
        <w:gridCol w:w="754"/>
        <w:gridCol w:w="754"/>
        <w:gridCol w:w="754"/>
        <w:gridCol w:w="1110"/>
        <w:gridCol w:w="1110"/>
      </w:tblGrid>
      <w:tr w:rsidR="0042058C" w:rsidRPr="0042058C" w:rsidTr="0042058C">
        <w:trPr>
          <w:trHeight w:val="20"/>
          <w:jc w:val="center"/>
        </w:trPr>
        <w:tc>
          <w:tcPr>
            <w:tcW w:w="1474" w:type="pct"/>
            <w:tcBorders>
              <w:top w:val="single" w:sz="8" w:space="0" w:color="auto"/>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4"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580"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80"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29846</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28191</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27105</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26418</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25996</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25824</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-9,2</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-12,9</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13492</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12740</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12241</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11917</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11701</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11585</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-9,3</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-13,3</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6069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5779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5585</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5459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5374</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5328</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-8,0</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-11,5</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2419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2212</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2065</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1959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1882</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1833</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-14,7</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-22,2</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5681</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5347</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5137</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5016</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4964</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4979</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-9,6</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-12,6</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637</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608</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588</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576</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566</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-7,6</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-10,8</w:t>
            </w:r>
          </w:p>
        </w:tc>
      </w:tr>
      <w:tr w:rsidR="0042058C" w:rsidRPr="0042058C" w:rsidTr="0042058C">
        <w:trPr>
          <w:trHeight w:val="20"/>
          <w:jc w:val="center"/>
        </w:trPr>
        <w:tc>
          <w:tcPr>
            <w:tcW w:w="1474"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1548</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1505</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1489</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1491</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1506</w:t>
            </w:r>
          </w:p>
        </w:tc>
        <w:tc>
          <w:tcPr>
            <w:tcW w:w="39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1534</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-3,8</w:t>
            </w:r>
          </w:p>
        </w:tc>
        <w:tc>
          <w:tcPr>
            <w:tcW w:w="58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1</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численности населения в Труновском муниципальном округе до 2046 г. по среднему варианту</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2805"/>
        <w:gridCol w:w="749"/>
        <w:gridCol w:w="748"/>
        <w:gridCol w:w="748"/>
        <w:gridCol w:w="748"/>
        <w:gridCol w:w="748"/>
        <w:gridCol w:w="748"/>
        <w:gridCol w:w="1181"/>
        <w:gridCol w:w="1095"/>
      </w:tblGrid>
      <w:tr w:rsidR="0042058C" w:rsidRPr="0042058C" w:rsidTr="0042058C">
        <w:trPr>
          <w:trHeight w:val="20"/>
          <w:jc w:val="center"/>
        </w:trPr>
        <w:tc>
          <w:tcPr>
            <w:tcW w:w="1465" w:type="pct"/>
            <w:tcBorders>
              <w:top w:val="single" w:sz="8" w:space="0" w:color="auto"/>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61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74"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29846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27808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26241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25020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24028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23258</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13492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12571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11861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11304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10841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10467</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-19,7</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6069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5702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5409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5173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4971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4803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-18,1</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2419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2180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1995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1849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1731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1639</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-17,5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-28,5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5270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4962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4730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4559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4447</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-12,7</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-19,7</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550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520</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-10,2</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-16,4</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1548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1485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1442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1413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1394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1383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-10,0</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3</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 xml:space="preserve">Прогнозная оценка численности населения в Труновском муниципальном </w:t>
      </w:r>
      <w:r w:rsidR="005220F5">
        <w:rPr>
          <w:rFonts w:ascii="Times New Roman" w:eastAsia="Calibri" w:hAnsi="Times New Roman" w:cs="Times New Roman"/>
          <w:bCs/>
          <w:sz w:val="28"/>
          <w:szCs w:val="28"/>
          <w:lang w:eastAsia="ru-RU"/>
        </w:rPr>
        <w:t xml:space="preserve">          </w:t>
      </w:r>
      <w:r w:rsidRPr="0042058C">
        <w:rPr>
          <w:rFonts w:ascii="Times New Roman" w:eastAsia="Calibri" w:hAnsi="Times New Roman" w:cs="Times New Roman"/>
          <w:bCs/>
          <w:sz w:val="28"/>
          <w:szCs w:val="28"/>
          <w:lang w:eastAsia="ru-RU"/>
        </w:rPr>
        <w:t>до 2046 г. по пессимистическому сценарию</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2805"/>
        <w:gridCol w:w="749"/>
        <w:gridCol w:w="748"/>
        <w:gridCol w:w="748"/>
        <w:gridCol w:w="748"/>
        <w:gridCol w:w="748"/>
        <w:gridCol w:w="748"/>
        <w:gridCol w:w="1181"/>
        <w:gridCol w:w="1095"/>
      </w:tblGrid>
      <w:tr w:rsidR="0042058C" w:rsidRPr="0042058C" w:rsidTr="0042058C">
        <w:trPr>
          <w:trHeight w:val="20"/>
          <w:jc w:val="center"/>
        </w:trPr>
        <w:tc>
          <w:tcPr>
            <w:tcW w:w="1465" w:type="pct"/>
            <w:tcBorders>
              <w:top w:val="single" w:sz="8" w:space="0" w:color="auto"/>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61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74"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29846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27740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25938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24373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22971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21758</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-23,0</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13492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12542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11730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11022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10378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9811</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-23,1</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6069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5347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5040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4752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4489</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-21,7</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2419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2175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1973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1654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1533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-18,5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-31,6</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5254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4898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4598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4345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4143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-13,8</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599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513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492</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-19,4</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1548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1481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1424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1375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1330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1290</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-8,0</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-14,1</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widowControl w:val="0"/>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Прогнозные расчеты показывают, что при оптимистическом прогнозе численность населения Труновского муниципального округа к 2046 г. снизится на 13,3%, по наиболее вероятному среднему варианту – снизится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22,1%, по пессимистическому – сокращение составит 27,1%.</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Согласно базовому среднему варианту на первую очередь прогнозирования численность к 2031 г. сократится на 3,6 тыс. чел. Это проявится при сохранении современной демографической ситуации, которая зависит от определяющих ее уровеня рождаемости, смертности, естественной и миграционной убыли населения.</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Однако население территорий, входящих в состав округа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протяжении прогнозируемого периода (2020-2041 гг.) будет вести себя разнонаправлено. Так к расчетному сроку более чем на 20% сократится население территориального управления пос. им. Кирова. Во всех остальных территориях снижение численности будет колебаться в пределах 10-20%. </w:t>
      </w:r>
      <w:bookmarkStart w:id="74" w:name="_Hlk48558357"/>
      <w:r w:rsidRPr="0042058C">
        <w:rPr>
          <w:rFonts w:ascii="Times New Roman" w:eastAsia="Times New Roman" w:hAnsi="Times New Roman" w:cs="Times New Roman"/>
          <w:sz w:val="28"/>
          <w:szCs w:val="28"/>
          <w:lang w:eastAsia="ru-RU"/>
        </w:rPr>
        <w:t>Негативной следует считать тенденцию сокращения численности населения на 19,5% к 2041 г. в ТУ с Донское, на территории которого расположен центр округа.</w:t>
      </w:r>
    </w:p>
    <w:bookmarkEnd w:id="74"/>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bookmarkStart w:id="75" w:name="_Hlk48414107"/>
      <w:r w:rsidRPr="0042058C">
        <w:rPr>
          <w:rFonts w:ascii="Times New Roman" w:eastAsia="Calibri" w:hAnsi="Times New Roman" w:cs="Times New Roman"/>
          <w:bCs/>
          <w:sz w:val="28"/>
          <w:szCs w:val="28"/>
        </w:rPr>
        <w:t xml:space="preserve">Таблица </w:t>
      </w:r>
      <w:bookmarkStart w:id="76" w:name="_Hlk48413926"/>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4</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среднегодовой динамики рождаемости в Труновском муниципальном округе до 2041 г. по оптимистическому сценарию</w:t>
      </w:r>
      <w:bookmarkEnd w:id="76"/>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3081"/>
        <w:gridCol w:w="813"/>
        <w:gridCol w:w="813"/>
        <w:gridCol w:w="813"/>
        <w:gridCol w:w="813"/>
        <w:gridCol w:w="813"/>
        <w:gridCol w:w="1212"/>
        <w:gridCol w:w="1212"/>
      </w:tblGrid>
      <w:tr w:rsidR="0042058C" w:rsidRPr="0042058C" w:rsidTr="0042058C">
        <w:trPr>
          <w:trHeight w:val="20"/>
          <w:jc w:val="center"/>
        </w:trPr>
        <w:tc>
          <w:tcPr>
            <w:tcW w:w="1609" w:type="pct"/>
            <w:tcBorders>
              <w:top w:val="single" w:sz="8" w:space="0" w:color="auto"/>
              <w:left w:val="single" w:sz="8" w:space="0" w:color="auto"/>
              <w:bottom w:val="single" w:sz="8" w:space="0" w:color="auto"/>
              <w:right w:val="single" w:sz="8" w:space="0" w:color="auto"/>
            </w:tcBorders>
            <w:noWrap/>
            <w:vAlign w:val="center"/>
            <w:hideMark/>
          </w:tcPr>
          <w:bookmarkEnd w:id="75"/>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425"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237</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219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-8,8</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-19,7</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-18,8</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-15,2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-31,6</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-19,5</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-11,6</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-15,4</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-7,3</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5</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среднегодовой динамики рождаемости в Труновском муниципальном округе до 2041 г. по среднему варианту</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3081"/>
        <w:gridCol w:w="813"/>
        <w:gridCol w:w="813"/>
        <w:gridCol w:w="813"/>
        <w:gridCol w:w="813"/>
        <w:gridCol w:w="813"/>
        <w:gridCol w:w="1212"/>
        <w:gridCol w:w="1212"/>
      </w:tblGrid>
      <w:tr w:rsidR="0042058C" w:rsidRPr="0042058C" w:rsidTr="0042058C">
        <w:trPr>
          <w:trHeight w:val="20"/>
          <w:jc w:val="center"/>
        </w:trPr>
        <w:tc>
          <w:tcPr>
            <w:tcW w:w="1609" w:type="pct"/>
            <w:tcBorders>
              <w:top w:val="single" w:sz="8" w:space="0" w:color="auto"/>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425"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188</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-11,1</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-24,2</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87</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-8,7</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-23,0</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41</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-17,2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-34,9</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-23,5</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47</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-21,1</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-10,7</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-10,9</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среднегодовой динамики рождаемости в Труновском муниципальном округе до 2041 г. по пессимистическому сценарию</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3081"/>
        <w:gridCol w:w="813"/>
        <w:gridCol w:w="813"/>
        <w:gridCol w:w="813"/>
        <w:gridCol w:w="813"/>
        <w:gridCol w:w="813"/>
        <w:gridCol w:w="1212"/>
        <w:gridCol w:w="1212"/>
      </w:tblGrid>
      <w:tr w:rsidR="0042058C" w:rsidRPr="0042058C" w:rsidTr="0042058C">
        <w:trPr>
          <w:trHeight w:val="20"/>
          <w:jc w:val="center"/>
        </w:trPr>
        <w:tc>
          <w:tcPr>
            <w:tcW w:w="1609" w:type="pct"/>
            <w:tcBorders>
              <w:top w:val="single" w:sz="8" w:space="0" w:color="auto"/>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425"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425"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633"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214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180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-13,2</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-27,1</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-10,8</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-25,8</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-19,1</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-36,9</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-26,3</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-16,3</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-24,7</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-13,6</w:t>
            </w:r>
          </w:p>
        </w:tc>
      </w:tr>
      <w:tr w:rsidR="0042058C" w:rsidRPr="0042058C" w:rsidTr="0042058C">
        <w:trPr>
          <w:trHeight w:val="20"/>
          <w:jc w:val="center"/>
        </w:trPr>
        <w:tc>
          <w:tcPr>
            <w:tcW w:w="160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w:t>
            </w:r>
          </w:p>
        </w:tc>
        <w:tc>
          <w:tcPr>
            <w:tcW w:w="425"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-6,0</w:t>
            </w:r>
          </w:p>
        </w:tc>
        <w:tc>
          <w:tcPr>
            <w:tcW w:w="633"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-16,6</w:t>
            </w:r>
          </w:p>
        </w:tc>
      </w:tr>
    </w:tbl>
    <w:p w:rsidR="0042058C" w:rsidRPr="0042058C" w:rsidRDefault="0042058C" w:rsidP="0042058C">
      <w:pPr>
        <w:spacing w:after="0"/>
        <w:ind w:firstLine="709"/>
        <w:jc w:val="both"/>
        <w:rPr>
          <w:rFonts w:ascii="Times New Roman" w:eastAsia="Times New Roman" w:hAnsi="Times New Roman" w:cs="Times New Roman"/>
          <w:b/>
          <w:bCs/>
          <w:color w:val="000000"/>
          <w:sz w:val="24"/>
          <w:szCs w:val="24"/>
          <w:lang w:eastAsia="ru-RU"/>
        </w:rPr>
      </w:pP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 xml:space="preserve">Прогнозные сценарии рождаемости в значительно меньшей степени, чем сценарии смертности и миграции, связаны с социально-экономическими перспективами территории. Начало устойчивого экономического роста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не означает возврата к более высоким уровням рождаемости. Возможно, что изменения в рождаемости носят необратимый характер. Различия в уровне рождаемости зависят, в первую очередь, от половозрастной структуры населения и миграционной подвижности. Миграция в силу специфики состава переселенцев оказывает влияние на рождаемость через изменение половозрастной структуры.</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 xml:space="preserve">Пессимистический вариант прогноза предполагает, что рождаемость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 xml:space="preserve">в Труновском муниципальном округе закономерно снижается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 xml:space="preserve">до минимальных показателей в 2041 г. </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 xml:space="preserve">Аналогичные тенденции характерны как для оптимистического, так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и для среднего варианта. Различия проявляются только в темпах сокращения (соответственно -19,7 и -24,2%).</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 xml:space="preserve">По базовому среднему варианту к 2041 г. снижение рождаемости затронет все, без исключения, территориальные образования. Максимальное сокращение (более 30%) будет характерно для ТУ с. Безопасное. Минимальные показатели прогнозируются в ТУ с. Новая Кугульта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 xml:space="preserve">и ТУ с. Подлесное (-10,7 и – 10,9%). </w:t>
      </w:r>
    </w:p>
    <w:p w:rsid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color w:val="000000"/>
          <w:sz w:val="28"/>
          <w:szCs w:val="28"/>
          <w:lang w:eastAsia="ru-RU"/>
        </w:rPr>
        <w:t xml:space="preserve">На показатели рождаемости существенное влияние оказывает число женщин в фертильном (детородном) возрасте – возрасте 15-49 лет, </w:t>
      </w:r>
      <w:r w:rsidR="005220F5">
        <w:rPr>
          <w:rFonts w:ascii="Times New Roman" w:eastAsia="Times New Roman" w:hAnsi="Times New Roman" w:cs="Times New Roman"/>
          <w:color w:val="000000"/>
          <w:sz w:val="28"/>
          <w:szCs w:val="28"/>
          <w:lang w:eastAsia="ru-RU"/>
        </w:rPr>
        <w:t xml:space="preserve">                     </w:t>
      </w:r>
      <w:r w:rsidRPr="0042058C">
        <w:rPr>
          <w:rFonts w:ascii="Times New Roman" w:eastAsia="Times New Roman" w:hAnsi="Times New Roman" w:cs="Times New Roman"/>
          <w:color w:val="000000"/>
          <w:sz w:val="28"/>
          <w:szCs w:val="28"/>
          <w:lang w:eastAsia="ru-RU"/>
        </w:rPr>
        <w:t xml:space="preserve">на который приходится абсолютное большинство рождений детей. </w:t>
      </w:r>
      <w:r w:rsidRPr="0042058C">
        <w:rPr>
          <w:rFonts w:ascii="Times New Roman" w:eastAsia="Times New Roman" w:hAnsi="Times New Roman" w:cs="Times New Roman"/>
          <w:sz w:val="28"/>
          <w:szCs w:val="28"/>
          <w:lang w:eastAsia="ru-RU"/>
        </w:rPr>
        <w:t xml:space="preserve">При этом доминирующая роль в динамике численности родившихся будет принадлежать не столько фертильности, сколько количеству женщин детородного возраста в самых активных детородных возрастах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20 до 35 лет.</w:t>
      </w:r>
    </w:p>
    <w:p w:rsidR="005220F5" w:rsidRPr="0042058C" w:rsidRDefault="005220F5" w:rsidP="0042058C">
      <w:pPr>
        <w:spacing w:after="0"/>
        <w:ind w:firstLine="709"/>
        <w:jc w:val="both"/>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7</w:t>
      </w:r>
      <w:r w:rsidRPr="0042058C">
        <w:rPr>
          <w:rFonts w:ascii="Times New Roman" w:eastAsia="Calibri" w:hAnsi="Times New Roman" w:cs="Times New Roman"/>
          <w:bCs/>
          <w:sz w:val="28"/>
          <w:szCs w:val="28"/>
        </w:rPr>
        <w:fldChar w:fldCharType="begin"/>
      </w:r>
      <w:r w:rsidRPr="0042058C">
        <w:rPr>
          <w:rFonts w:ascii="Times New Roman" w:eastAsia="Calibri" w:hAnsi="Times New Roman" w:cs="Times New Roman"/>
          <w:bCs/>
          <w:sz w:val="28"/>
          <w:szCs w:val="28"/>
        </w:rPr>
        <w:instrText xml:space="preserve"> SEQ Таблица \* ARABIC </w:instrText>
      </w:r>
      <w:r w:rsidR="00AC7BDA">
        <w:rPr>
          <w:rFonts w:ascii="Times New Roman" w:eastAsia="Calibri" w:hAnsi="Times New Roman" w:cs="Times New Roman"/>
          <w:bCs/>
          <w:sz w:val="28"/>
          <w:szCs w:val="28"/>
        </w:rPr>
        <w:fldChar w:fldCharType="separate"/>
      </w:r>
      <w:r w:rsidR="00AC7BDA">
        <w:rPr>
          <w:rFonts w:ascii="Times New Roman" w:eastAsia="Calibri" w:hAnsi="Times New Roman" w:cs="Times New Roman"/>
          <w:bCs/>
          <w:noProof/>
          <w:sz w:val="28"/>
          <w:szCs w:val="28"/>
        </w:rPr>
        <w:t>2</w:t>
      </w:r>
      <w:r w:rsidRPr="0042058C">
        <w:rPr>
          <w:rFonts w:ascii="Times New Roman" w:eastAsia="Calibri" w:hAnsi="Times New Roman" w:cs="Times New Roman"/>
          <w:bCs/>
          <w:sz w:val="28"/>
          <w:szCs w:val="28"/>
        </w:rPr>
        <w:fldChar w:fldCharType="end"/>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 xml:space="preserve">Прогнозная оценка динамики численности женщин фертильного (детородного) возраста в Труновском муниципальном округе до 2046 г. </w:t>
      </w:r>
      <w:r w:rsidR="005220F5">
        <w:rPr>
          <w:rFonts w:ascii="Times New Roman" w:eastAsia="Calibri" w:hAnsi="Times New Roman" w:cs="Times New Roman"/>
          <w:bCs/>
          <w:sz w:val="28"/>
          <w:szCs w:val="28"/>
          <w:lang w:eastAsia="ru-RU"/>
        </w:rPr>
        <w:t xml:space="preserve">              </w:t>
      </w:r>
      <w:r w:rsidRPr="0042058C">
        <w:rPr>
          <w:rFonts w:ascii="Times New Roman" w:eastAsia="Calibri" w:hAnsi="Times New Roman" w:cs="Times New Roman"/>
          <w:bCs/>
          <w:sz w:val="28"/>
          <w:szCs w:val="28"/>
          <w:lang w:eastAsia="ru-RU"/>
        </w:rPr>
        <w:t>по оптимистическому сценарию</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2805"/>
        <w:gridCol w:w="749"/>
        <w:gridCol w:w="748"/>
        <w:gridCol w:w="748"/>
        <w:gridCol w:w="748"/>
        <w:gridCol w:w="748"/>
        <w:gridCol w:w="748"/>
        <w:gridCol w:w="1181"/>
        <w:gridCol w:w="1095"/>
      </w:tblGrid>
      <w:tr w:rsidR="0042058C" w:rsidRPr="0042058C" w:rsidTr="0042058C">
        <w:trPr>
          <w:trHeight w:val="20"/>
          <w:jc w:val="center"/>
        </w:trPr>
        <w:tc>
          <w:tcPr>
            <w:tcW w:w="1465" w:type="pct"/>
            <w:tcBorders>
              <w:top w:val="single" w:sz="8" w:space="0" w:color="auto"/>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61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74"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6183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5650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5269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4878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4551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4452</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-14,8</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-26,4</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2795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2588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2451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2288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2137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2084</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-12,3</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1129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1032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922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828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780</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-17,9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-34,1</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445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414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387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381</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-11,3</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-22,8</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1038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940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878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849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855</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-27,9</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86</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-25,9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-35,0</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с. Подлесное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321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314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304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285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265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42058C">
              <w:rPr>
                <w:rFonts w:ascii="Times New Roman" w:eastAsia="Times New Roman" w:hAnsi="Times New Roman" w:cs="Times New Roman"/>
                <w:color w:val="000000"/>
                <w:lang w:eastAsia="ru-RU"/>
              </w:rPr>
              <w:t>266</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42058C">
              <w:rPr>
                <w:rFonts w:ascii="Times New Roman" w:eastAsia="Times New Roman" w:hAnsi="Times New Roman" w:cs="Times New Roman"/>
                <w:b/>
                <w:bCs/>
                <w:color w:val="000000"/>
                <w:lang w:eastAsia="ru-RU"/>
              </w:rPr>
              <w:t>-5,5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42058C">
              <w:rPr>
                <w:rFonts w:ascii="Times New Roman" w:eastAsia="Times New Roman" w:hAnsi="Times New Roman" w:cs="Times New Roman"/>
                <w:b/>
                <w:bCs/>
                <w:color w:val="000000"/>
                <w:lang w:eastAsia="ru-RU"/>
              </w:rPr>
              <w:t>-17,5</w:t>
            </w:r>
          </w:p>
        </w:tc>
      </w:tr>
    </w:tbl>
    <w:p w:rsidR="0042058C" w:rsidRPr="0042058C" w:rsidRDefault="0042058C" w:rsidP="0042058C">
      <w:pPr>
        <w:spacing w:after="0"/>
        <w:ind w:firstLine="709"/>
        <w:jc w:val="both"/>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7</w:t>
      </w:r>
      <w:r w:rsidR="00E86957">
        <w:rPr>
          <w:rFonts w:ascii="Times New Roman" w:eastAsia="Calibri" w:hAnsi="Times New Roman" w:cs="Times New Roman"/>
          <w:bCs/>
          <w:sz w:val="28"/>
          <w:szCs w:val="28"/>
        </w:rPr>
        <w:t>8</w:t>
      </w:r>
    </w:p>
    <w:p w:rsidR="0042058C" w:rsidRPr="0042058C" w:rsidRDefault="0042058C" w:rsidP="0042058C">
      <w:pPr>
        <w:keepNext/>
        <w:spacing w:after="0" w:line="240" w:lineRule="auto"/>
        <w:jc w:val="center"/>
        <w:rPr>
          <w:rFonts w:ascii="Times New Roman" w:eastAsia="Calibri" w:hAnsi="Times New Roman" w:cs="Times New Roman"/>
          <w:bCs/>
          <w:noProof/>
          <w:sz w:val="28"/>
          <w:szCs w:val="28"/>
        </w:rPr>
      </w:pPr>
      <w:r w:rsidRPr="0042058C">
        <w:rPr>
          <w:rFonts w:ascii="Times New Roman" w:eastAsia="Calibri" w:hAnsi="Times New Roman" w:cs="Times New Roman"/>
          <w:bCs/>
          <w:noProof/>
          <w:sz w:val="28"/>
          <w:szCs w:val="28"/>
        </w:rPr>
        <w:t>Прогнозная оценка динамики численности женщин фертильного (детородного) возраста в Труновском муниципальном округе до 2046 г.                 по среднему варианту</w:t>
      </w:r>
    </w:p>
    <w:p w:rsidR="0042058C" w:rsidRPr="0042058C" w:rsidRDefault="0042058C" w:rsidP="0042058C">
      <w:pPr>
        <w:keepNext/>
        <w:spacing w:after="0" w:line="240" w:lineRule="auto"/>
        <w:jc w:val="center"/>
        <w:rPr>
          <w:rFonts w:ascii="Times New Roman" w:eastAsia="Calibri" w:hAnsi="Times New Roman" w:cs="Times New Roman"/>
          <w:bCs/>
          <w:noProof/>
          <w:sz w:val="28"/>
          <w:szCs w:val="28"/>
        </w:rPr>
      </w:pPr>
    </w:p>
    <w:tbl>
      <w:tblPr>
        <w:tblW w:w="5000" w:type="pct"/>
        <w:jc w:val="center"/>
        <w:tblLook w:val="04A0" w:firstRow="1" w:lastRow="0" w:firstColumn="1" w:lastColumn="0" w:noHBand="0" w:noVBand="1"/>
      </w:tblPr>
      <w:tblGrid>
        <w:gridCol w:w="2805"/>
        <w:gridCol w:w="749"/>
        <w:gridCol w:w="748"/>
        <w:gridCol w:w="748"/>
        <w:gridCol w:w="748"/>
        <w:gridCol w:w="748"/>
        <w:gridCol w:w="748"/>
        <w:gridCol w:w="1181"/>
        <w:gridCol w:w="1095"/>
      </w:tblGrid>
      <w:tr w:rsidR="0042058C" w:rsidRPr="0042058C" w:rsidTr="0042058C">
        <w:trPr>
          <w:trHeight w:val="20"/>
          <w:jc w:val="center"/>
        </w:trPr>
        <w:tc>
          <w:tcPr>
            <w:tcW w:w="1465" w:type="pct"/>
            <w:tcBorders>
              <w:top w:val="single" w:sz="8" w:space="0" w:color="auto"/>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61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74"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6183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5604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5153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4677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4250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4042</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-16,7</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-31,3</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2795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2569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2400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2198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1897</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-28,4</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1121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1012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889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779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715</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-19,5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-38,0</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436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363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349</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-27,6</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1027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913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832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781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763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-22,5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-33,7</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80</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-27,3</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-38,4</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238</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-7,6</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-23,7</w:t>
            </w:r>
          </w:p>
        </w:tc>
      </w:tr>
    </w:tbl>
    <w:p w:rsidR="0042058C" w:rsidRPr="0042058C" w:rsidRDefault="0042058C" w:rsidP="0042058C">
      <w:pPr>
        <w:spacing w:after="0"/>
        <w:ind w:firstLine="709"/>
        <w:jc w:val="both"/>
        <w:rPr>
          <w:rFonts w:ascii="Arial" w:eastAsia="Times New Roman" w:hAnsi="Arial" w:cs="Arial"/>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E86957">
        <w:rPr>
          <w:rFonts w:ascii="Times New Roman" w:eastAsia="Calibri" w:hAnsi="Times New Roman" w:cs="Times New Roman"/>
          <w:bCs/>
          <w:sz w:val="28"/>
          <w:szCs w:val="28"/>
        </w:rPr>
        <w:t>79</w:t>
      </w:r>
    </w:p>
    <w:p w:rsidR="0042058C" w:rsidRPr="0042058C" w:rsidRDefault="0042058C" w:rsidP="0042058C">
      <w:pPr>
        <w:keepNext/>
        <w:spacing w:after="0" w:line="240" w:lineRule="auto"/>
        <w:jc w:val="center"/>
        <w:rPr>
          <w:rFonts w:ascii="Times New Roman" w:eastAsia="Calibri" w:hAnsi="Times New Roman" w:cs="Times New Roman"/>
          <w:bCs/>
          <w:noProof/>
          <w:sz w:val="28"/>
          <w:szCs w:val="28"/>
        </w:rPr>
      </w:pPr>
      <w:r w:rsidRPr="0042058C">
        <w:rPr>
          <w:rFonts w:ascii="Times New Roman" w:eastAsia="Calibri" w:hAnsi="Times New Roman" w:cs="Times New Roman"/>
          <w:bCs/>
          <w:noProof/>
          <w:sz w:val="28"/>
          <w:szCs w:val="28"/>
        </w:rPr>
        <w:t>Прогнозная оценка динамики численности женщин фертильного (детородного) возраста в Труновском муниципальном округе до 2046 г.</w:t>
      </w:r>
      <w:r w:rsidR="005220F5">
        <w:rPr>
          <w:rFonts w:ascii="Times New Roman" w:eastAsia="Calibri" w:hAnsi="Times New Roman" w:cs="Times New Roman"/>
          <w:bCs/>
          <w:noProof/>
          <w:sz w:val="28"/>
          <w:szCs w:val="28"/>
        </w:rPr>
        <w:t xml:space="preserve">              </w:t>
      </w:r>
      <w:r w:rsidRPr="0042058C">
        <w:rPr>
          <w:rFonts w:ascii="Times New Roman" w:eastAsia="Calibri" w:hAnsi="Times New Roman" w:cs="Times New Roman"/>
          <w:bCs/>
          <w:noProof/>
          <w:sz w:val="28"/>
          <w:szCs w:val="28"/>
        </w:rPr>
        <w:t xml:space="preserve"> по пессимистическому сценарию</w:t>
      </w:r>
    </w:p>
    <w:p w:rsidR="0042058C" w:rsidRPr="0042058C" w:rsidRDefault="0042058C" w:rsidP="0042058C">
      <w:pPr>
        <w:keepNext/>
        <w:spacing w:after="0" w:line="240" w:lineRule="auto"/>
        <w:jc w:val="both"/>
        <w:rPr>
          <w:rFonts w:ascii="Times New Roman" w:eastAsia="Calibri" w:hAnsi="Times New Roman" w:cs="Times New Roman"/>
          <w:bCs/>
          <w:noProof/>
          <w:sz w:val="28"/>
          <w:szCs w:val="28"/>
        </w:rPr>
      </w:pPr>
    </w:p>
    <w:tbl>
      <w:tblPr>
        <w:tblW w:w="5000" w:type="pct"/>
        <w:jc w:val="center"/>
        <w:tblLook w:val="04A0" w:firstRow="1" w:lastRow="0" w:firstColumn="1" w:lastColumn="0" w:noHBand="0" w:noVBand="1"/>
      </w:tblPr>
      <w:tblGrid>
        <w:gridCol w:w="2805"/>
        <w:gridCol w:w="749"/>
        <w:gridCol w:w="748"/>
        <w:gridCol w:w="748"/>
        <w:gridCol w:w="748"/>
        <w:gridCol w:w="748"/>
        <w:gridCol w:w="748"/>
        <w:gridCol w:w="1181"/>
        <w:gridCol w:w="1095"/>
      </w:tblGrid>
      <w:tr w:rsidR="0042058C" w:rsidRPr="0042058C" w:rsidTr="0042058C">
        <w:trPr>
          <w:trHeight w:val="20"/>
          <w:jc w:val="center"/>
        </w:trPr>
        <w:tc>
          <w:tcPr>
            <w:tcW w:w="1465" w:type="pct"/>
            <w:tcBorders>
              <w:top w:val="single" w:sz="8" w:space="0" w:color="auto"/>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c>
          <w:tcPr>
            <w:tcW w:w="39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2046</w:t>
            </w:r>
          </w:p>
        </w:tc>
        <w:tc>
          <w:tcPr>
            <w:tcW w:w="61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2031 к 2021, %</w:t>
            </w:r>
          </w:p>
        </w:tc>
        <w:tc>
          <w:tcPr>
            <w:tcW w:w="574"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Темп прироста 2041 к 2021, %</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6183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5586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5103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4586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4114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3856</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-17,5</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-33,5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2795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2561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2377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2156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1938</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1811</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-30,7</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1257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1119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1005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875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759</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688</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-20,1</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-39,6</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464</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431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332</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-13,9</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-30,0</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1177</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1022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901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812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723</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-23,4</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-36,2</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132</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95</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78</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-27,7</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-39,5</w:t>
            </w:r>
          </w:p>
        </w:tc>
      </w:tr>
      <w:tr w:rsidR="0042058C" w:rsidRPr="0042058C" w:rsidTr="0042058C">
        <w:trPr>
          <w:trHeight w:val="20"/>
          <w:jc w:val="center"/>
        </w:trPr>
        <w:tc>
          <w:tcPr>
            <w:tcW w:w="1465"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321</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310</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293</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266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236</w:t>
            </w:r>
          </w:p>
        </w:tc>
        <w:tc>
          <w:tcPr>
            <w:tcW w:w="39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225</w:t>
            </w:r>
          </w:p>
        </w:tc>
        <w:tc>
          <w:tcPr>
            <w:tcW w:w="61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-8,7</w:t>
            </w:r>
          </w:p>
        </w:tc>
        <w:tc>
          <w:tcPr>
            <w:tcW w:w="574"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-26,6</w:t>
            </w:r>
          </w:p>
        </w:tc>
      </w:tr>
    </w:tbl>
    <w:p w:rsidR="0042058C" w:rsidRPr="0042058C" w:rsidRDefault="0042058C" w:rsidP="0042058C">
      <w:pPr>
        <w:spacing w:after="0"/>
        <w:ind w:firstLine="709"/>
        <w:jc w:val="both"/>
        <w:rPr>
          <w:rFonts w:ascii="Arial" w:eastAsia="Times New Roman" w:hAnsi="Arial" w:cs="Arial"/>
          <w:b/>
          <w:bCs/>
          <w:color w:val="000000"/>
          <w:sz w:val="24"/>
          <w:szCs w:val="24"/>
          <w:lang w:eastAsia="ru-RU"/>
        </w:rPr>
      </w:pP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Все три сценария предполагают сокращение численности женщин фертильного (детородного) возраста на территории Труновского муниципального округа и во всех территориальных управлениях.</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базовому (среднему прогнозу) численность женщин фертильного возраста по муниципальному округу к завершению первой очереди реализации генерального плана (2031 г.) сократится на 16,7%, а к 2046 г. уменьшится на 34,6%. Численность населенных пунктов не оказывает существенного влияния на сокращение числа женщин этой категории. Данная тенденция прослеживается как в пределах территориальных управлений, в которых находятся крупные поселения (с. Донское – убыль 32,1%; с. Безопасное – убыль 43,1%, с. Труновское – убыль 35,2%), так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небольшие (п. им. Кирова – убыль 30,3%, с. Новая Кугульта – 39,4%,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Подлесное – убыль 24,9%).</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Уменьшение численности женщин фертильного возраста, наряду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другими факторами, повлияет на закономерное сокращение рождаемости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округе на 11,1% к 2031 г. и на 24,2% к 2041 г.</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Изменившиеся условия не позволяют рассчитывать на высокую рождаемость в молодых возрастах, особенно в возрастной группе 15-25 лет.</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связи со значительным уменьшением женщин репродуктивного возраста потребуется принятие дополнительных мер, стимулирующих рождение в семьях второго и третьего ребенка.</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Смертность является вторым важным показателем воспроизводства населения. Колебания смертности объясняются, прежде всего, различиями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возрастной структуре населения. Миграционный отток молодежи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ухудшение, вследствие этого, возрастной структуры населения приводит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к повышению интенсивности смертности. Будущая ее динамика связана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с экономическими перспективами округа (уровень и качество жизни, качество медицинской помощи и др.).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среднему варианту прогноза снижение смертности в 2021-2041 гг. незначительное и не означает перелома долговременной негативной тенденции.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Проблема снижения смертности населения, особенно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трудоспособном возрасте, является, на наш взгляд, не менее актуальной задачей в улучшении демографической ситуации, чем и стимулирование рождаемости. Особенно это относится к мужскому населению, смертность которого велика в трудоспособном возрасте.</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Улучшение ситуации со смертностью в значительной степени будет определяться улучшением функционирования системы здравоохранения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более здоровым образом жизни населения. </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0</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миграции населения Труновского муниципального округа по оптимистическому сценарию, в среднем за данный год и каждый год пятилетнего периода, чел.</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1304"/>
        <w:gridCol w:w="1638"/>
        <w:gridCol w:w="1305"/>
        <w:gridCol w:w="1568"/>
        <w:gridCol w:w="1351"/>
        <w:gridCol w:w="2404"/>
      </w:tblGrid>
      <w:tr w:rsidR="0042058C" w:rsidRPr="0042058C" w:rsidTr="0042058C">
        <w:trPr>
          <w:trHeight w:val="20"/>
          <w:jc w:val="center"/>
        </w:trPr>
        <w:tc>
          <w:tcPr>
            <w:tcW w:w="681" w:type="pct"/>
            <w:tcBorders>
              <w:top w:val="single" w:sz="8" w:space="0" w:color="auto"/>
              <w:left w:val="single" w:sz="4" w:space="0" w:color="auto"/>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2021-2025</w:t>
            </w:r>
          </w:p>
        </w:tc>
        <w:tc>
          <w:tcPr>
            <w:tcW w:w="85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2030</w:t>
            </w:r>
          </w:p>
        </w:tc>
        <w:tc>
          <w:tcPr>
            <w:tcW w:w="682"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2031-2035</w:t>
            </w:r>
          </w:p>
        </w:tc>
        <w:tc>
          <w:tcPr>
            <w:tcW w:w="819"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2040</w:t>
            </w:r>
          </w:p>
        </w:tc>
        <w:tc>
          <w:tcPr>
            <w:tcW w:w="706"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2041-2046</w:t>
            </w:r>
          </w:p>
        </w:tc>
        <w:tc>
          <w:tcPr>
            <w:tcW w:w="1256" w:type="pct"/>
            <w:tcBorders>
              <w:top w:val="nil"/>
              <w:left w:val="nil"/>
              <w:bottom w:val="nil"/>
              <w:right w:val="nil"/>
            </w:tcBorders>
            <w:noWrap/>
            <w:vAlign w:val="bottom"/>
            <w:hideMark/>
          </w:tcPr>
          <w:p w:rsidR="0042058C" w:rsidRPr="0042058C" w:rsidRDefault="0042058C" w:rsidP="0042058C">
            <w:pPr>
              <w:spacing w:after="0" w:line="240" w:lineRule="auto"/>
              <w:jc w:val="right"/>
              <w:rPr>
                <w:rFonts w:ascii="Times New Roman" w:eastAsia="Times New Roman" w:hAnsi="Times New Roman" w:cs="Times New Roman"/>
                <w:b/>
                <w:bCs/>
                <w:color w:val="000000"/>
                <w:lang w:eastAsia="ru-RU"/>
              </w:rPr>
            </w:pPr>
          </w:p>
        </w:tc>
      </w:tr>
      <w:tr w:rsidR="0042058C" w:rsidRPr="0042058C" w:rsidTr="0042058C">
        <w:trPr>
          <w:trHeight w:val="20"/>
          <w:jc w:val="center"/>
        </w:trPr>
        <w:tc>
          <w:tcPr>
            <w:tcW w:w="681"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2882</w:t>
            </w:r>
          </w:p>
        </w:tc>
        <w:tc>
          <w:tcPr>
            <w:tcW w:w="85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3026</w:t>
            </w:r>
          </w:p>
        </w:tc>
        <w:tc>
          <w:tcPr>
            <w:tcW w:w="68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3178</w:t>
            </w:r>
          </w:p>
        </w:tc>
        <w:tc>
          <w:tcPr>
            <w:tcW w:w="819"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3337</w:t>
            </w:r>
          </w:p>
        </w:tc>
        <w:tc>
          <w:tcPr>
            <w:tcW w:w="70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3503</w:t>
            </w:r>
          </w:p>
        </w:tc>
        <w:tc>
          <w:tcPr>
            <w:tcW w:w="1256"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Прибыло</w:t>
            </w:r>
          </w:p>
        </w:tc>
      </w:tr>
      <w:tr w:rsidR="0042058C" w:rsidRPr="0042058C" w:rsidTr="0042058C">
        <w:trPr>
          <w:trHeight w:val="20"/>
          <w:jc w:val="center"/>
        </w:trPr>
        <w:tc>
          <w:tcPr>
            <w:tcW w:w="681"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bookmarkStart w:id="77" w:name="_Hlk48490032"/>
            <w:r w:rsidRPr="0042058C">
              <w:rPr>
                <w:rFonts w:ascii="Times New Roman" w:eastAsia="Times New Roman" w:hAnsi="Times New Roman" w:cs="Times New Roman"/>
                <w:color w:val="000000"/>
                <w:sz w:val="20"/>
                <w:szCs w:val="20"/>
                <w:lang w:eastAsia="ru-RU"/>
              </w:rPr>
              <w:t>3998</w:t>
            </w:r>
          </w:p>
        </w:tc>
        <w:tc>
          <w:tcPr>
            <w:tcW w:w="85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3679</w:t>
            </w:r>
          </w:p>
        </w:tc>
        <w:tc>
          <w:tcPr>
            <w:tcW w:w="68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3441</w:t>
            </w:r>
          </w:p>
        </w:tc>
        <w:tc>
          <w:tcPr>
            <w:tcW w:w="819"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3257</w:t>
            </w:r>
          </w:p>
        </w:tc>
        <w:tc>
          <w:tcPr>
            <w:tcW w:w="70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3114</w:t>
            </w:r>
          </w:p>
        </w:tc>
        <w:tc>
          <w:tcPr>
            <w:tcW w:w="1256"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Выбыло</w:t>
            </w:r>
          </w:p>
        </w:tc>
      </w:tr>
      <w:tr w:rsidR="0042058C" w:rsidRPr="0042058C" w:rsidTr="0042058C">
        <w:trPr>
          <w:trHeight w:val="20"/>
          <w:jc w:val="center"/>
        </w:trPr>
        <w:tc>
          <w:tcPr>
            <w:tcW w:w="681"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bookmarkStart w:id="78" w:name="_Hlk48490296"/>
            <w:bookmarkEnd w:id="77"/>
            <w:r w:rsidRPr="0042058C">
              <w:rPr>
                <w:rFonts w:ascii="Times New Roman" w:eastAsia="Times New Roman" w:hAnsi="Times New Roman" w:cs="Times New Roman"/>
                <w:color w:val="000000"/>
                <w:sz w:val="20"/>
                <w:szCs w:val="20"/>
                <w:lang w:eastAsia="ru-RU"/>
              </w:rPr>
              <w:t>- 1116</w:t>
            </w:r>
          </w:p>
        </w:tc>
        <w:tc>
          <w:tcPr>
            <w:tcW w:w="85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- 653</w:t>
            </w:r>
          </w:p>
        </w:tc>
        <w:tc>
          <w:tcPr>
            <w:tcW w:w="68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- 263</w:t>
            </w:r>
          </w:p>
        </w:tc>
        <w:tc>
          <w:tcPr>
            <w:tcW w:w="819"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80</w:t>
            </w:r>
          </w:p>
        </w:tc>
        <w:tc>
          <w:tcPr>
            <w:tcW w:w="70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389</w:t>
            </w:r>
          </w:p>
        </w:tc>
        <w:tc>
          <w:tcPr>
            <w:tcW w:w="1256"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Миграционный прирост</w:t>
            </w:r>
          </w:p>
        </w:tc>
      </w:tr>
      <w:bookmarkEnd w:id="78"/>
    </w:tbl>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1</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миграции населения Труновского муниципального округа по среднему варианту, в среднем за данный год и каждый год пятилетнего периода, чел.</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1323"/>
        <w:gridCol w:w="1658"/>
        <w:gridCol w:w="1324"/>
        <w:gridCol w:w="1659"/>
        <w:gridCol w:w="1324"/>
        <w:gridCol w:w="2282"/>
      </w:tblGrid>
      <w:tr w:rsidR="0042058C" w:rsidRPr="0042058C" w:rsidTr="0042058C">
        <w:trPr>
          <w:trHeight w:val="20"/>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2021-2025</w:t>
            </w:r>
          </w:p>
        </w:tc>
        <w:tc>
          <w:tcPr>
            <w:tcW w:w="872"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2030</w:t>
            </w:r>
          </w:p>
        </w:tc>
        <w:tc>
          <w:tcPr>
            <w:tcW w:w="697"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2031-2035</w:t>
            </w:r>
          </w:p>
        </w:tc>
        <w:tc>
          <w:tcPr>
            <w:tcW w:w="872"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2040</w:t>
            </w:r>
          </w:p>
        </w:tc>
        <w:tc>
          <w:tcPr>
            <w:tcW w:w="69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2041-2046</w:t>
            </w:r>
          </w:p>
        </w:tc>
        <w:tc>
          <w:tcPr>
            <w:tcW w:w="1165" w:type="pct"/>
            <w:tcBorders>
              <w:top w:val="nil"/>
              <w:left w:val="nil"/>
              <w:bottom w:val="nil"/>
              <w:right w:val="nil"/>
            </w:tcBorders>
            <w:noWrap/>
            <w:vAlign w:val="bottom"/>
            <w:hideMark/>
          </w:tcPr>
          <w:p w:rsidR="0042058C" w:rsidRPr="0042058C" w:rsidRDefault="0042058C" w:rsidP="0042058C">
            <w:pPr>
              <w:spacing w:after="0" w:line="240" w:lineRule="auto"/>
              <w:jc w:val="right"/>
              <w:rPr>
                <w:rFonts w:ascii="Times New Roman" w:eastAsia="Times New Roman" w:hAnsi="Times New Roman" w:cs="Times New Roman"/>
                <w:b/>
                <w:bCs/>
                <w:color w:val="000000"/>
                <w:lang w:eastAsia="ru-RU"/>
              </w:rPr>
            </w:pPr>
          </w:p>
        </w:tc>
      </w:tr>
      <w:tr w:rsidR="0042058C" w:rsidRPr="0042058C" w:rsidTr="0042058C">
        <w:trPr>
          <w:trHeight w:val="20"/>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2827</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2912</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3000</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3090</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3182</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Прибыло</w:t>
            </w:r>
          </w:p>
        </w:tc>
      </w:tr>
      <w:tr w:rsidR="0042058C" w:rsidRPr="0042058C" w:rsidTr="0042058C">
        <w:trPr>
          <w:trHeight w:val="20"/>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4057</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3752</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3511</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3315</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3155</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Выбыло</w:t>
            </w:r>
          </w:p>
        </w:tc>
      </w:tr>
      <w:tr w:rsidR="0042058C" w:rsidRPr="0042058C" w:rsidTr="0042058C">
        <w:trPr>
          <w:trHeight w:val="20"/>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- 1230</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- 840</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- 511</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- 225</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Миграционный прирост</w:t>
            </w:r>
          </w:p>
        </w:tc>
      </w:tr>
    </w:tbl>
    <w:p w:rsidR="0042058C" w:rsidRPr="0042058C" w:rsidRDefault="0042058C" w:rsidP="0042058C">
      <w:pPr>
        <w:keepNext/>
        <w:spacing w:after="0" w:line="240" w:lineRule="auto"/>
        <w:jc w:val="both"/>
        <w:rPr>
          <w:rFonts w:ascii="Times New Roman" w:eastAsia="Calibri" w:hAnsi="Times New Roman" w:cs="Times New Roman"/>
          <w:b/>
          <w:bCs/>
          <w:color w:val="262626"/>
          <w:szCs w:val="28"/>
        </w:rPr>
      </w:pP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2</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миграции населения Труновского муниципального округа по пессимистическому сценарию, в среднем за данный год и каждый год пятилетнего периода, чел.</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1323"/>
        <w:gridCol w:w="1658"/>
        <w:gridCol w:w="1324"/>
        <w:gridCol w:w="1659"/>
        <w:gridCol w:w="1324"/>
        <w:gridCol w:w="2282"/>
      </w:tblGrid>
      <w:tr w:rsidR="0042058C" w:rsidRPr="0042058C" w:rsidTr="0042058C">
        <w:trPr>
          <w:trHeight w:val="23"/>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2021-2025</w:t>
            </w:r>
          </w:p>
        </w:tc>
        <w:tc>
          <w:tcPr>
            <w:tcW w:w="872"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2030</w:t>
            </w:r>
          </w:p>
        </w:tc>
        <w:tc>
          <w:tcPr>
            <w:tcW w:w="697"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2031-2035</w:t>
            </w:r>
          </w:p>
        </w:tc>
        <w:tc>
          <w:tcPr>
            <w:tcW w:w="872"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2040</w:t>
            </w:r>
          </w:p>
        </w:tc>
        <w:tc>
          <w:tcPr>
            <w:tcW w:w="69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2041-2046</w:t>
            </w:r>
          </w:p>
        </w:tc>
        <w:tc>
          <w:tcPr>
            <w:tcW w:w="1165" w:type="pct"/>
            <w:tcBorders>
              <w:top w:val="nil"/>
              <w:left w:val="nil"/>
              <w:bottom w:val="nil"/>
              <w:right w:val="nil"/>
            </w:tcBorders>
            <w:noWrap/>
            <w:vAlign w:val="bottom"/>
            <w:hideMark/>
          </w:tcPr>
          <w:p w:rsidR="0042058C" w:rsidRPr="0042058C" w:rsidRDefault="0042058C" w:rsidP="0042058C">
            <w:pPr>
              <w:spacing w:after="0" w:line="240" w:lineRule="auto"/>
              <w:jc w:val="right"/>
              <w:rPr>
                <w:rFonts w:ascii="Times New Roman" w:eastAsia="Times New Roman" w:hAnsi="Times New Roman" w:cs="Times New Roman"/>
                <w:b/>
                <w:bCs/>
                <w:color w:val="000000"/>
                <w:lang w:eastAsia="ru-RU"/>
              </w:rPr>
            </w:pPr>
          </w:p>
        </w:tc>
      </w:tr>
      <w:tr w:rsidR="0042058C" w:rsidRPr="0042058C" w:rsidTr="0042058C">
        <w:trPr>
          <w:trHeight w:val="23"/>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2772</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2800</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2828</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2856</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2885</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Прибыло</w:t>
            </w:r>
          </w:p>
        </w:tc>
      </w:tr>
      <w:tr w:rsidR="0042058C" w:rsidRPr="0042058C" w:rsidTr="0042058C">
        <w:trPr>
          <w:trHeight w:val="23"/>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4054</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3729</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3449</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3203</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2987</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Выбыло</w:t>
            </w:r>
          </w:p>
        </w:tc>
      </w:tr>
      <w:tr w:rsidR="0042058C" w:rsidRPr="0042058C" w:rsidTr="0042058C">
        <w:trPr>
          <w:trHeight w:val="23"/>
          <w:jc w:val="center"/>
        </w:trPr>
        <w:tc>
          <w:tcPr>
            <w:tcW w:w="697" w:type="pct"/>
            <w:tcBorders>
              <w:top w:val="single" w:sz="8" w:space="0" w:color="auto"/>
              <w:left w:val="single" w:sz="4" w:space="0" w:color="auto"/>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- 1282</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- 929</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- 621</w:t>
            </w:r>
          </w:p>
        </w:tc>
        <w:tc>
          <w:tcPr>
            <w:tcW w:w="872"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- 347</w:t>
            </w:r>
          </w:p>
        </w:tc>
        <w:tc>
          <w:tcPr>
            <w:tcW w:w="697"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- 102</w:t>
            </w:r>
          </w:p>
        </w:tc>
        <w:tc>
          <w:tcPr>
            <w:tcW w:w="1165" w:type="pct"/>
            <w:tcBorders>
              <w:top w:val="nil"/>
              <w:left w:val="nil"/>
              <w:bottom w:val="nil"/>
              <w:right w:val="nil"/>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Миграционный прирост</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sz w:val="28"/>
          <w:szCs w:val="28"/>
          <w:lang w:eastAsia="ru-RU"/>
        </w:rPr>
        <w:t>Из основных демографических показателей миграция населения является наиболее трудно прогнозируемой при разработке сценариев развития. Её направления, масштабы и структура, в основном, будут определяться состоянием экономической, особенно производственной сферы муниципального округа.</w:t>
      </w:r>
      <w:r w:rsidRPr="0042058C">
        <w:rPr>
          <w:rFonts w:ascii="Times New Roman" w:eastAsia="Times New Roman" w:hAnsi="Times New Roman" w:cs="Times New Roman"/>
          <w:color w:val="000000"/>
          <w:sz w:val="28"/>
          <w:szCs w:val="28"/>
          <w:lang w:eastAsia="ru-RU"/>
        </w:rPr>
        <w:t xml:space="preserve"> Сложности учета миграции населения не позволяет точно определить объем и направление миграционных потоков. Существующая информация позволяет провести формальную экстраполяцию тренда миграции.</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 xml:space="preserve">Объемы миграции в Труновском округе стабилизируются, что связано с уменьшением миграционного потенциала, в первую очередь, сельского населения региона. </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Все три сценария предполагают постепенное увеличение числа прибывших к 2046 г., при этом, максимальные показатели характерны для оптимистического прогноза. Наблюдается тенденция сокращения выбывших.</w:t>
      </w:r>
    </w:p>
    <w:p w:rsidR="0042058C" w:rsidRPr="0042058C" w:rsidRDefault="0042058C" w:rsidP="0042058C">
      <w:pPr>
        <w:spacing w:after="0"/>
        <w:ind w:firstLine="709"/>
        <w:jc w:val="both"/>
        <w:rPr>
          <w:rFonts w:ascii="Times New Roman" w:eastAsia="Times New Roman" w:hAnsi="Times New Roman" w:cs="Times New Roman"/>
          <w:color w:val="000000"/>
          <w:sz w:val="28"/>
          <w:szCs w:val="28"/>
          <w:lang w:eastAsia="ru-RU"/>
        </w:rPr>
      </w:pPr>
      <w:r w:rsidRPr="0042058C">
        <w:rPr>
          <w:rFonts w:ascii="Times New Roman" w:eastAsia="Times New Roman" w:hAnsi="Times New Roman" w:cs="Times New Roman"/>
          <w:color w:val="000000"/>
          <w:sz w:val="28"/>
          <w:szCs w:val="28"/>
          <w:lang w:eastAsia="ru-RU"/>
        </w:rPr>
        <w:t>Разные темпы и направления прямого и обратного миграционного потока влияют на миграционный прирост населения. Если при пессимистическом сценарии его показатели на протяжении всего периода 2021-2046 гг. отрицательные, то при оптимистическом и среднем варианте происходит постепенный переход к положительным значениям – в первом случае – с 2036 г., во втором – с 2041.</w:t>
      </w:r>
    </w:p>
    <w:p w:rsidR="0042058C" w:rsidRPr="0042058C" w:rsidRDefault="0042058C" w:rsidP="0042058C">
      <w:pPr>
        <w:spacing w:after="0"/>
        <w:ind w:firstLine="709"/>
        <w:jc w:val="both"/>
        <w:rPr>
          <w:rFonts w:ascii="Arial" w:eastAsia="Times New Roman" w:hAnsi="Arial" w:cs="Arial"/>
          <w:b/>
          <w:bCs/>
          <w:color w:val="000000"/>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bookmarkStart w:id="79" w:name="_Hlk48414693"/>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3</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динамики естественного и механического движения населения Труновского муниципального округа по разным вариантам, человек</w:t>
      </w:r>
      <w:bookmarkEnd w:id="79"/>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5480"/>
        <w:gridCol w:w="818"/>
        <w:gridCol w:w="818"/>
        <w:gridCol w:w="818"/>
        <w:gridCol w:w="818"/>
        <w:gridCol w:w="818"/>
      </w:tblGrid>
      <w:tr w:rsidR="0042058C" w:rsidRPr="0042058C" w:rsidTr="0042058C">
        <w:trPr>
          <w:trHeight w:val="20"/>
          <w:jc w:val="center"/>
        </w:trPr>
        <w:tc>
          <w:tcPr>
            <w:tcW w:w="2269" w:type="pct"/>
            <w:tcBorders>
              <w:top w:val="single" w:sz="8" w:space="0" w:color="auto"/>
              <w:left w:val="single" w:sz="8" w:space="0" w:color="auto"/>
              <w:bottom w:val="single" w:sz="8" w:space="0" w:color="auto"/>
              <w:right w:val="single" w:sz="8" w:space="0" w:color="auto"/>
            </w:tcBorders>
            <w:noWrap/>
            <w:vAlign w:val="bottom"/>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54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2026</w:t>
            </w:r>
          </w:p>
        </w:tc>
        <w:tc>
          <w:tcPr>
            <w:tcW w:w="54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54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2036</w:t>
            </w:r>
          </w:p>
        </w:tc>
        <w:tc>
          <w:tcPr>
            <w:tcW w:w="546" w:type="pct"/>
            <w:tcBorders>
              <w:top w:val="single" w:sz="8" w:space="0" w:color="auto"/>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Оптимистический сценарий прогноза, на 1000 чел. населения</w:t>
            </w:r>
          </w:p>
        </w:tc>
        <w:tc>
          <w:tcPr>
            <w:tcW w:w="546" w:type="pct"/>
            <w:tcBorders>
              <w:top w:val="nil"/>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p>
        </w:tc>
        <w:tc>
          <w:tcPr>
            <w:tcW w:w="546" w:type="pct"/>
            <w:tcBorders>
              <w:top w:val="nil"/>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p>
        </w:tc>
        <w:tc>
          <w:tcPr>
            <w:tcW w:w="546" w:type="pct"/>
            <w:tcBorders>
              <w:top w:val="nil"/>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p>
        </w:tc>
        <w:tc>
          <w:tcPr>
            <w:tcW w:w="546" w:type="pct"/>
            <w:tcBorders>
              <w:top w:val="nil"/>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sz w:val="20"/>
                <w:szCs w:val="20"/>
                <w:lang w:eastAsia="ru-RU"/>
              </w:rPr>
            </w:pPr>
          </w:p>
        </w:tc>
        <w:tc>
          <w:tcPr>
            <w:tcW w:w="546" w:type="pct"/>
            <w:tcBorders>
              <w:top w:val="nil"/>
              <w:left w:val="nil"/>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Естественный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-3,6</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-3,8</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-4,3</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Миграционный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-4,6</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-1,9</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0,6</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Общий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-7,7</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-5,0</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bookmarkStart w:id="80" w:name="_Hlk48546252"/>
            <w:r w:rsidRPr="0042058C">
              <w:rPr>
                <w:rFonts w:ascii="Times New Roman" w:eastAsia="Times New Roman" w:hAnsi="Times New Roman" w:cs="Times New Roman"/>
                <w:bCs/>
                <w:color w:val="000000"/>
                <w:sz w:val="20"/>
                <w:szCs w:val="20"/>
                <w:lang w:eastAsia="ru-RU"/>
              </w:rPr>
              <w:t>Средний вариант прогноза,</w:t>
            </w:r>
            <w:r w:rsidRPr="0042058C">
              <w:rPr>
                <w:rFonts w:ascii="Times New Roman" w:eastAsia="Times New Roman" w:hAnsi="Times New Roman" w:cs="Times New Roman"/>
                <w:sz w:val="20"/>
                <w:szCs w:val="20"/>
                <w:lang w:eastAsia="ru-RU"/>
              </w:rPr>
              <w:t xml:space="preserve"> </w:t>
            </w:r>
          </w:p>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на 1000 чел. населения</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p>
        </w:tc>
      </w:tr>
      <w:bookmarkEnd w:id="80"/>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Естественный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-5,4</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-5,2</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-5,4</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-6,6</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Миграционный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-8,2</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-3,9</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0,2</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Общий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-13,6</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-11,2</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-9,3</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-7,9</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-6,4</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Пессимистический вариант прогноза, на 1000 чел. населения</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Естественный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-5,5</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-7,3</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-8,7</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-9,7</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Миграционный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-8,6</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-4,8</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-0,9</w:t>
            </w:r>
          </w:p>
        </w:tc>
      </w:tr>
      <w:tr w:rsidR="0042058C" w:rsidRPr="0042058C" w:rsidTr="0042058C">
        <w:trPr>
          <w:trHeight w:val="20"/>
          <w:jc w:val="center"/>
        </w:trPr>
        <w:tc>
          <w:tcPr>
            <w:tcW w:w="2269" w:type="pct"/>
            <w:tcBorders>
              <w:top w:val="nil"/>
              <w:left w:val="single" w:sz="8" w:space="0" w:color="auto"/>
              <w:bottom w:val="single" w:sz="8" w:space="0" w:color="auto"/>
              <w:right w:val="single" w:sz="8" w:space="0" w:color="auto"/>
            </w:tcBorders>
            <w:noWrap/>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Общий прирост (убыль)</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-13,0</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-12,1</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-11,5</w:t>
            </w:r>
          </w:p>
        </w:tc>
        <w:tc>
          <w:tcPr>
            <w:tcW w:w="546"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-10,6</w:t>
            </w:r>
          </w:p>
        </w:tc>
      </w:tr>
    </w:tbl>
    <w:p w:rsidR="0042058C" w:rsidRPr="0042058C" w:rsidRDefault="0042058C" w:rsidP="0042058C">
      <w:pPr>
        <w:spacing w:after="0"/>
        <w:ind w:firstLine="709"/>
        <w:jc w:val="both"/>
        <w:rPr>
          <w:rFonts w:ascii="Times New Roman" w:eastAsia="Times New Roman" w:hAnsi="Times New Roman" w:cs="Times New Roman"/>
          <w:b/>
          <w:bCs/>
          <w:color w:val="000000"/>
          <w:lang w:eastAsia="ru-RU"/>
        </w:rPr>
      </w:pP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Результативность естественного и миграционного движения определяет общий прирост (убыль) численности населения.</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всех трех сценариев развития на протяжении всего периода характерна естественная убыль населения. Это приводит к общему сокращению численности населения округа. Даже положительные значения миграционного прироста с 2036 г. (оптимистический сценарий) и с 2041 г. (средний вариант) не компенсируют потерь от естественной убыли.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Наложение естественной и миграционной убыли (в большинстве случаев) на всех этапах расчетного периода приведет к максимальному сокращения населения муниципального округа.</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4</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возрастной структуры населения Труновского муниципального округа в 2041 г. по оптимистическому сценарию</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ook w:val="04A0" w:firstRow="1" w:lastRow="0" w:firstColumn="1" w:lastColumn="0" w:noHBand="0" w:noVBand="1"/>
      </w:tblPr>
      <w:tblGrid>
        <w:gridCol w:w="1699"/>
        <w:gridCol w:w="2349"/>
        <w:gridCol w:w="552"/>
        <w:gridCol w:w="1568"/>
        <w:gridCol w:w="552"/>
        <w:gridCol w:w="2298"/>
        <w:gridCol w:w="552"/>
      </w:tblGrid>
      <w:tr w:rsidR="0042058C" w:rsidRPr="0042058C" w:rsidTr="0042058C">
        <w:trPr>
          <w:cantSplit/>
          <w:trHeight w:val="1693"/>
          <w:jc w:val="center"/>
        </w:trPr>
        <w:tc>
          <w:tcPr>
            <w:tcW w:w="1879" w:type="pct"/>
            <w:tcBorders>
              <w:top w:val="single" w:sz="8" w:space="0" w:color="auto"/>
              <w:left w:val="single" w:sz="8" w:space="0" w:color="auto"/>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50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Моложе трудоспособного</w:t>
            </w:r>
          </w:p>
        </w:tc>
        <w:tc>
          <w:tcPr>
            <w:tcW w:w="538"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c>
          <w:tcPr>
            <w:tcW w:w="50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Трудоспособное</w:t>
            </w:r>
          </w:p>
        </w:tc>
        <w:tc>
          <w:tcPr>
            <w:tcW w:w="538"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c>
          <w:tcPr>
            <w:tcW w:w="50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Старше трудоспособного</w:t>
            </w:r>
          </w:p>
        </w:tc>
        <w:tc>
          <w:tcPr>
            <w:tcW w:w="538"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3107</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12,0</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14794</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56,9</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8094</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31,1</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1366</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11,7</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6729</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57,5</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3606</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30,8</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589</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10,9</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3024</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56,3</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1761</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32,8</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252</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13,4</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1021</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54,2</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610</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32,4</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630</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12,7</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2788</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56,2</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1546</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31,1</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82</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14,4</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339</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59,6</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148</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26,0</w:t>
            </w:r>
          </w:p>
        </w:tc>
      </w:tr>
      <w:tr w:rsidR="0042058C" w:rsidRPr="0042058C" w:rsidTr="0042058C">
        <w:trPr>
          <w:cantSplit/>
          <w:trHeight w:val="20"/>
          <w:jc w:val="center"/>
        </w:trPr>
        <w:tc>
          <w:tcPr>
            <w:tcW w:w="18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189</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12,6</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894</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59,3</w:t>
            </w:r>
          </w:p>
        </w:tc>
        <w:tc>
          <w:tcPr>
            <w:tcW w:w="50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424</w:t>
            </w:r>
          </w:p>
        </w:tc>
        <w:tc>
          <w:tcPr>
            <w:tcW w:w="538"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28,1</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5</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Прогнозная оценка возрастной структуры населения Труновского муниципального округа в 2041 г. по среднему варианту</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5000" w:type="pct"/>
        <w:jc w:val="center"/>
        <w:tblLayout w:type="fixed"/>
        <w:tblLook w:val="04A0" w:firstRow="1" w:lastRow="0" w:firstColumn="1" w:lastColumn="0" w:noHBand="0" w:noVBand="1"/>
      </w:tblPr>
      <w:tblGrid>
        <w:gridCol w:w="1814"/>
        <w:gridCol w:w="1952"/>
        <w:gridCol w:w="733"/>
        <w:gridCol w:w="1709"/>
        <w:gridCol w:w="706"/>
        <w:gridCol w:w="1927"/>
        <w:gridCol w:w="729"/>
      </w:tblGrid>
      <w:tr w:rsidR="0042058C" w:rsidRPr="0042058C" w:rsidTr="0042058C">
        <w:trPr>
          <w:cantSplit/>
          <w:trHeight w:val="20"/>
          <w:jc w:val="center"/>
        </w:trPr>
        <w:tc>
          <w:tcPr>
            <w:tcW w:w="947" w:type="pct"/>
            <w:tcBorders>
              <w:top w:val="single" w:sz="8" w:space="0" w:color="auto"/>
              <w:left w:val="single" w:sz="8" w:space="0" w:color="auto"/>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1020"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Моложе трудоспособного</w:t>
            </w:r>
          </w:p>
        </w:tc>
        <w:tc>
          <w:tcPr>
            <w:tcW w:w="38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Доля%</w:t>
            </w:r>
          </w:p>
        </w:tc>
        <w:tc>
          <w:tcPr>
            <w:tcW w:w="89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Трудоспособное</w:t>
            </w:r>
          </w:p>
        </w:tc>
        <w:tc>
          <w:tcPr>
            <w:tcW w:w="369"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Доля%</w:t>
            </w:r>
          </w:p>
        </w:tc>
        <w:tc>
          <w:tcPr>
            <w:tcW w:w="1007"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Старше трудоспособного</w:t>
            </w:r>
          </w:p>
        </w:tc>
        <w:tc>
          <w:tcPr>
            <w:tcW w:w="382"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Доля%</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2916</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12,1</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13895</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57,8</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7217</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30,1</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1279</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11,8</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6338</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58,5</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3223</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29,7</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556</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11,2</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2846</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57,2</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1570</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31,6</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237</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13,7</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955</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55,2</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539</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31,1</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590</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12,9</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2596</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56,9</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1374</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30,2</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79</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14,8</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322</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60,5</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132</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24,7</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176</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12,6</w:t>
            </w:r>
          </w:p>
        </w:tc>
        <w:tc>
          <w:tcPr>
            <w:tcW w:w="89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839</w:t>
            </w:r>
          </w:p>
        </w:tc>
        <w:tc>
          <w:tcPr>
            <w:tcW w:w="369"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60,2</w:t>
            </w:r>
          </w:p>
        </w:tc>
        <w:tc>
          <w:tcPr>
            <w:tcW w:w="1007"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380</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27,2</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Прогнозная оценка возрастной структуры населения Труновского муниципального округа в 2041 г. по пессимистическому сценарию</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jc w:val="center"/>
        <w:tblLayout w:type="fixed"/>
        <w:tblLook w:val="04A0" w:firstRow="1" w:lastRow="0" w:firstColumn="1" w:lastColumn="0" w:noHBand="0" w:noVBand="1"/>
      </w:tblPr>
      <w:tblGrid>
        <w:gridCol w:w="1814"/>
        <w:gridCol w:w="1952"/>
        <w:gridCol w:w="733"/>
        <w:gridCol w:w="1707"/>
        <w:gridCol w:w="710"/>
        <w:gridCol w:w="1925"/>
        <w:gridCol w:w="729"/>
      </w:tblGrid>
      <w:tr w:rsidR="0042058C" w:rsidRPr="0042058C" w:rsidTr="0042058C">
        <w:trPr>
          <w:cantSplit/>
          <w:trHeight w:val="20"/>
          <w:jc w:val="center"/>
        </w:trPr>
        <w:tc>
          <w:tcPr>
            <w:tcW w:w="947" w:type="pct"/>
            <w:tcBorders>
              <w:top w:val="single" w:sz="8" w:space="0" w:color="auto"/>
              <w:left w:val="single" w:sz="8" w:space="0" w:color="auto"/>
              <w:bottom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1020"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Моложе трудоспособного</w:t>
            </w:r>
          </w:p>
        </w:tc>
        <w:tc>
          <w:tcPr>
            <w:tcW w:w="383"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c>
          <w:tcPr>
            <w:tcW w:w="892"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Трудоспособное</w:t>
            </w:r>
          </w:p>
        </w:tc>
        <w:tc>
          <w:tcPr>
            <w:tcW w:w="371"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c>
          <w:tcPr>
            <w:tcW w:w="1006"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Старше трудоспособного</w:t>
            </w:r>
          </w:p>
        </w:tc>
        <w:tc>
          <w:tcPr>
            <w:tcW w:w="382" w:type="pct"/>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2813</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12,3</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13449</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58,5</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6709</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29,2</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1235</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11,9</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6142</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59,2</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3001</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28,9</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538</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11,3</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2755</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58,0</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1458</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30,7</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229</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13,8</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926</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56,0</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499</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30,2</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568</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13,1</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2502</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57,6</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1274</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29,3</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76</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14,9</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314</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61,2</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123</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23,9</w:t>
            </w:r>
          </w:p>
        </w:tc>
      </w:tr>
      <w:tr w:rsidR="0042058C" w:rsidRPr="0042058C" w:rsidTr="0042058C">
        <w:trPr>
          <w:cantSplit/>
          <w:trHeight w:val="20"/>
          <w:jc w:val="center"/>
        </w:trPr>
        <w:tc>
          <w:tcPr>
            <w:tcW w:w="947"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1020"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167</w:t>
            </w:r>
          </w:p>
        </w:tc>
        <w:tc>
          <w:tcPr>
            <w:tcW w:w="383"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12,6</w:t>
            </w:r>
          </w:p>
        </w:tc>
        <w:tc>
          <w:tcPr>
            <w:tcW w:w="89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809</w:t>
            </w:r>
          </w:p>
        </w:tc>
        <w:tc>
          <w:tcPr>
            <w:tcW w:w="371"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60,8</w:t>
            </w:r>
          </w:p>
        </w:tc>
        <w:tc>
          <w:tcPr>
            <w:tcW w:w="1006"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354</w:t>
            </w:r>
          </w:p>
        </w:tc>
        <w:tc>
          <w:tcPr>
            <w:tcW w:w="382" w:type="pct"/>
            <w:tcBorders>
              <w:top w:val="nil"/>
              <w:left w:val="nil"/>
              <w:bottom w:val="single" w:sz="8" w:space="0" w:color="auto"/>
              <w:right w:val="single" w:sz="8" w:space="0" w:color="auto"/>
            </w:tcBorders>
            <w:noWrap/>
            <w:vAlign w:val="bottom"/>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26,6</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Как видно из таблиц, по социально-демографическим группам населения в рассматриваемой перспективе ожидаются довольно существенные изменения.</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Естественное и миграционное движение населения оказывают влияние на трансформацию возрастной структуры. Естественная убыль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миграционный отток, в который вовлекается наиболее репродуктивная часть населения приводят к деформации оставшегося населения. Усиливаются процессы «старения населения». В результате формирования такой структуры снижаются показатели естественного прироста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до отрицательных значений.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Негативные сдвиги по прогнозным расчетам произойдут в возрастной структуре населения муниципального округа.</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Во всех сценариях развития в Труновском муниципальном округе происходит сокращение доли лиц трудоспособного возраста с 60,4% до 56,9-58,5% в 2041 г. Почти до 1/3 повышается удельный вес населения старше трудоспособного возраста. Прогнозируемый рост доли и численности населения в возрастной категории старше трудоспособного возраста будет происходить, в том числе, и за счет снижения смертности в этой возрастной категории и роста ожидаемой продолжительности жизни. Снижается более чем на 5% доля лиц моложе трудоспособного возраста.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Из отдельных территориальных управлений более прогрессивная половозрастная структура характерна для ТУ с. Новая Кугульта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ТУ с. Подлесное, которые отличаются повышенным удельным весом населения в трудоспособном и моложе трудоспособного возраста, пониженным – пенсионеров. Негативные тенденции проявляются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ТУ с. Донское и ТУ с. Безопасное.</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 среднему варианту прогноза численность детей в 2021-2041 гг. снизится с 5,6 тыс. до 2,9 тыс. (в 1,9 раза), пенсионеров возрастет с 6,3 тыс. до 7,2 тыс. (на 14,3%). Доля населения этих возрастов составит в 2041 г. соответственно 12,1 и 30,1%. К концу периода абсолютная численность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удельный вес лиц старше трудоспособного возраста почти в 2,5 раза превысит соответствующие показатели детских возрастов (в 2021 г. это соотношение составляло 1,1:1,0). Сокращение числа детей и увеличение количества пенсионеров усилит проблемы в области образования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здравоохранения, создаст проблемы для бюджета муниципального округа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т.д. Уменьшение числа лиц моложе трудоспособного возраста потребует снижения числа мест в дошкольных учреждениях и дневных общеобразовательных школах. При этом надо учитывать, что число детей дошкольного и школьного возраста в разные отрезки рассматриваемого периода будет меняться по-разному.</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Значительно уменьшится численность трудоспособного населения –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18,0 до 13,9 тыс. чел. (на 22,8%). Однако при общем сокращении числа жителей и перераспределении по возрастным когортам доля этой категории изменится незначительно, с 60,4% в 2021 г. до 57,8 в 2041 г. Этот показатель со временем будет снижаться с связи со вступлением в трудоспособный возраст относительно все более малочисленных групп населения на фоне преобладающей естественной и миграционной убыли.</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7</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Прогнозная оценка динамики коэффициентов демографической нагрузки Труновского муниципального на расчетный срок (на 1000 человек трудоспособного возраста приходится лиц нетрудоспособных возрастных категорий) в 2021-2041 гг. Оптимистический сценарий</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tbl>
      <w:tblPr>
        <w:tblW w:w="5000" w:type="pct"/>
        <w:jc w:val="center"/>
        <w:tblLayout w:type="fixed"/>
        <w:tblLook w:val="04A0" w:firstRow="1" w:lastRow="0" w:firstColumn="1" w:lastColumn="0" w:noHBand="0" w:noVBand="1"/>
      </w:tblPr>
      <w:tblGrid>
        <w:gridCol w:w="1950"/>
        <w:gridCol w:w="2540"/>
        <w:gridCol w:w="2540"/>
        <w:gridCol w:w="2540"/>
      </w:tblGrid>
      <w:tr w:rsidR="0042058C" w:rsidRPr="0042058C" w:rsidTr="0042058C">
        <w:trPr>
          <w:trHeight w:val="20"/>
          <w:jc w:val="center"/>
        </w:trPr>
        <w:tc>
          <w:tcPr>
            <w:tcW w:w="1019" w:type="pct"/>
            <w:vMerge w:val="restart"/>
            <w:tcBorders>
              <w:top w:val="single" w:sz="8" w:space="0" w:color="auto"/>
              <w:left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3981" w:type="pct"/>
            <w:gridSpan w:val="3"/>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 xml:space="preserve">Демографическая нагрузка </w:t>
            </w:r>
          </w:p>
        </w:tc>
      </w:tr>
      <w:tr w:rsidR="0042058C" w:rsidRPr="0042058C" w:rsidTr="0042058C">
        <w:trPr>
          <w:trHeight w:val="20"/>
          <w:jc w:val="center"/>
        </w:trPr>
        <w:tc>
          <w:tcPr>
            <w:tcW w:w="1019" w:type="pct"/>
            <w:vMerge/>
            <w:tcBorders>
              <w:left w:val="single" w:sz="8" w:space="0" w:color="auto"/>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p>
        </w:tc>
        <w:tc>
          <w:tcPr>
            <w:tcW w:w="1327"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1327"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1327"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655,8</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695,5</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757,2</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656,1</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685,2</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738,9</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655,9</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695,8</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777,0</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655,7</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751,5</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844,6</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656,3</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719,4</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780,2</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650,3</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679,9</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677,6</w:t>
            </w:r>
          </w:p>
        </w:tc>
      </w:tr>
      <w:tr w:rsidR="0042058C" w:rsidRPr="0042058C" w:rsidTr="0042058C">
        <w:trPr>
          <w:trHeight w:val="20"/>
          <w:jc w:val="center"/>
        </w:trPr>
        <w:tc>
          <w:tcPr>
            <w:tcW w:w="101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653,8</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632,7</w:t>
            </w:r>
          </w:p>
        </w:tc>
        <w:tc>
          <w:tcPr>
            <w:tcW w:w="1327"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685,9</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bookmarkStart w:id="81" w:name="_Hlk48497601"/>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8</w:t>
      </w:r>
      <w:r w:rsidR="00E86957">
        <w:rPr>
          <w:rFonts w:ascii="Times New Roman" w:eastAsia="Calibri" w:hAnsi="Times New Roman" w:cs="Times New Roman"/>
          <w:bCs/>
          <w:sz w:val="28"/>
          <w:szCs w:val="28"/>
        </w:rPr>
        <w:t>8</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Прогнозная оценка динамики коэффициентов демографической нагрузки Труновского муниципального округа на расчетный срок (на 1000 человек трудоспособного возраста приходится лиц нетрудоспособных возрастных категорий) в 2021-2041 гг. Средний вариант</w:t>
      </w:r>
      <w:bookmarkEnd w:id="81"/>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tbl>
      <w:tblPr>
        <w:tblW w:w="5000" w:type="pct"/>
        <w:jc w:val="center"/>
        <w:tblLook w:val="04A0" w:firstRow="1" w:lastRow="0" w:firstColumn="1" w:lastColumn="0" w:noHBand="0" w:noVBand="1"/>
      </w:tblPr>
      <w:tblGrid>
        <w:gridCol w:w="1873"/>
        <w:gridCol w:w="2565"/>
        <w:gridCol w:w="2567"/>
        <w:gridCol w:w="2565"/>
      </w:tblGrid>
      <w:tr w:rsidR="0042058C" w:rsidRPr="0042058C" w:rsidTr="0042058C">
        <w:trPr>
          <w:cantSplit/>
          <w:trHeight w:val="20"/>
          <w:jc w:val="center"/>
        </w:trPr>
        <w:tc>
          <w:tcPr>
            <w:tcW w:w="979" w:type="pct"/>
            <w:vMerge w:val="restart"/>
            <w:tcBorders>
              <w:top w:val="single" w:sz="8" w:space="0" w:color="auto"/>
              <w:left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4021" w:type="pct"/>
            <w:gridSpan w:val="3"/>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 xml:space="preserve">Демографическая нагрузка </w:t>
            </w:r>
          </w:p>
        </w:tc>
      </w:tr>
      <w:tr w:rsidR="0042058C" w:rsidRPr="0042058C" w:rsidTr="0042058C">
        <w:trPr>
          <w:cantSplit/>
          <w:trHeight w:val="20"/>
          <w:jc w:val="center"/>
        </w:trPr>
        <w:tc>
          <w:tcPr>
            <w:tcW w:w="979" w:type="pct"/>
            <w:vMerge/>
            <w:tcBorders>
              <w:left w:val="single" w:sz="8" w:space="0" w:color="auto"/>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p>
        </w:tc>
        <w:tc>
          <w:tcPr>
            <w:tcW w:w="1340"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2021</w:t>
            </w:r>
          </w:p>
        </w:tc>
        <w:tc>
          <w:tcPr>
            <w:tcW w:w="1341" w:type="pct"/>
            <w:tcBorders>
              <w:top w:val="single" w:sz="8" w:space="0" w:color="auto"/>
              <w:left w:val="nil"/>
              <w:bottom w:val="single" w:sz="8" w:space="0" w:color="auto"/>
              <w:right w:val="single" w:sz="8" w:space="0" w:color="auto"/>
            </w:tcBorders>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2031</w:t>
            </w:r>
          </w:p>
        </w:tc>
        <w:tc>
          <w:tcPr>
            <w:tcW w:w="1341" w:type="pct"/>
            <w:tcBorders>
              <w:top w:val="single" w:sz="8" w:space="0" w:color="auto"/>
              <w:left w:val="nil"/>
              <w:bottom w:val="single" w:sz="8" w:space="0" w:color="auto"/>
              <w:right w:val="single" w:sz="8" w:space="0" w:color="auto"/>
            </w:tcBorders>
            <w:noWrap/>
            <w:vAlign w:val="center"/>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2041</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655,8</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680,9</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729,3</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656,1</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670,0</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710,4</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655,9</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680,8</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747,1</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655,7</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735,7</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812,0</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656,3</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706,5</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756,5</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650,3</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666,4</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653,4</w:t>
            </w:r>
          </w:p>
        </w:tc>
      </w:tr>
      <w:tr w:rsidR="0042058C" w:rsidRPr="0042058C" w:rsidTr="0042058C">
        <w:trPr>
          <w:cantSplit/>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653,8</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620,0</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662,0</w:t>
            </w:r>
          </w:p>
        </w:tc>
      </w:tr>
    </w:tbl>
    <w:p w:rsidR="0042058C" w:rsidRPr="0042058C" w:rsidRDefault="0042058C" w:rsidP="0042058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E86957">
        <w:rPr>
          <w:rFonts w:ascii="Times New Roman" w:eastAsia="Calibri" w:hAnsi="Times New Roman" w:cs="Times New Roman"/>
          <w:bCs/>
          <w:sz w:val="28"/>
          <w:szCs w:val="28"/>
        </w:rPr>
        <w:t>89</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Прогнозная оценка динамики коэффициентов демографической нагрузки Труновского муниципального округа на расчетный срок </w:t>
      </w:r>
      <w:bookmarkStart w:id="82" w:name="_Hlk48554356"/>
      <w:r w:rsidRPr="0042058C">
        <w:rPr>
          <w:rFonts w:ascii="Times New Roman" w:eastAsia="Calibri" w:hAnsi="Times New Roman" w:cs="Times New Roman"/>
          <w:bCs/>
          <w:sz w:val="28"/>
          <w:szCs w:val="28"/>
        </w:rPr>
        <w:t xml:space="preserve">(на 1000 человек трудоспособного возраста приходится лиц нетрудоспособных возрастных категорий) </w:t>
      </w:r>
      <w:bookmarkEnd w:id="82"/>
      <w:r w:rsidRPr="0042058C">
        <w:rPr>
          <w:rFonts w:ascii="Times New Roman" w:eastAsia="Calibri" w:hAnsi="Times New Roman" w:cs="Times New Roman"/>
          <w:bCs/>
          <w:sz w:val="28"/>
          <w:szCs w:val="28"/>
        </w:rPr>
        <w:t>в 2021-2041 гг. Пессимистический вариант</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jc w:val="center"/>
        <w:tblLook w:val="04A0" w:firstRow="1" w:lastRow="0" w:firstColumn="1" w:lastColumn="0" w:noHBand="0" w:noVBand="1"/>
      </w:tblPr>
      <w:tblGrid>
        <w:gridCol w:w="1873"/>
        <w:gridCol w:w="2565"/>
        <w:gridCol w:w="2567"/>
        <w:gridCol w:w="2565"/>
      </w:tblGrid>
      <w:tr w:rsidR="0042058C" w:rsidRPr="0042058C" w:rsidTr="0042058C">
        <w:trPr>
          <w:trHeight w:val="20"/>
          <w:jc w:val="center"/>
        </w:trPr>
        <w:tc>
          <w:tcPr>
            <w:tcW w:w="979" w:type="pct"/>
            <w:vMerge w:val="restart"/>
            <w:tcBorders>
              <w:top w:val="single" w:sz="8" w:space="0" w:color="auto"/>
              <w:left w:val="single" w:sz="8" w:space="0" w:color="auto"/>
              <w:right w:val="single" w:sz="8" w:space="0" w:color="auto"/>
            </w:tcBorders>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Территориальные управления</w:t>
            </w:r>
          </w:p>
        </w:tc>
        <w:tc>
          <w:tcPr>
            <w:tcW w:w="4021" w:type="pct"/>
            <w:gridSpan w:val="3"/>
            <w:tcBorders>
              <w:top w:val="single" w:sz="8" w:space="0" w:color="auto"/>
              <w:left w:val="nil"/>
              <w:bottom w:val="single" w:sz="8" w:space="0" w:color="auto"/>
              <w:right w:val="single" w:sz="8" w:space="0" w:color="auto"/>
            </w:tcBorders>
            <w:noWrap/>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 xml:space="preserve">Демографическая нагрузка </w:t>
            </w:r>
          </w:p>
        </w:tc>
      </w:tr>
      <w:tr w:rsidR="0042058C" w:rsidRPr="0042058C" w:rsidTr="0042058C">
        <w:trPr>
          <w:trHeight w:val="20"/>
          <w:jc w:val="center"/>
        </w:trPr>
        <w:tc>
          <w:tcPr>
            <w:tcW w:w="979" w:type="pct"/>
            <w:vMerge/>
            <w:tcBorders>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2021</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2031</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2041</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szCs w:val="20"/>
                <w:lang w:eastAsia="ru-RU"/>
              </w:rPr>
            </w:pPr>
            <w:r w:rsidRPr="0042058C">
              <w:rPr>
                <w:rFonts w:ascii="Times New Roman" w:eastAsia="Times New Roman" w:hAnsi="Times New Roman" w:cs="Times New Roman"/>
                <w:bCs/>
                <w:color w:val="000000"/>
                <w:sz w:val="20"/>
                <w:szCs w:val="20"/>
                <w:lang w:eastAsia="ru-RU"/>
              </w:rPr>
              <w:t>Труновский МО</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655,8</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677,2</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708,0</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656,1</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666,1</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689,6</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655,9</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676,8</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724,4</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655,7</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731,3</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785,8</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656,3</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703,5</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736,1</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650,3</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663,1</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635,3</w:t>
            </w:r>
          </w:p>
        </w:tc>
      </w:tr>
      <w:tr w:rsidR="0042058C" w:rsidRPr="0042058C" w:rsidTr="0042058C">
        <w:trPr>
          <w:trHeight w:val="20"/>
          <w:jc w:val="center"/>
        </w:trPr>
        <w:tc>
          <w:tcPr>
            <w:tcW w:w="979" w:type="pct"/>
            <w:tcBorders>
              <w:top w:val="nil"/>
              <w:left w:val="single" w:sz="8" w:space="0" w:color="auto"/>
              <w:bottom w:val="single" w:sz="8" w:space="0" w:color="auto"/>
              <w:right w:val="single" w:sz="8" w:space="0" w:color="auto"/>
            </w:tcBorders>
            <w:noWrap/>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653,8</w:t>
            </w:r>
          </w:p>
        </w:tc>
        <w:tc>
          <w:tcPr>
            <w:tcW w:w="1341"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617,6</w:t>
            </w:r>
          </w:p>
        </w:tc>
        <w:tc>
          <w:tcPr>
            <w:tcW w:w="1340" w:type="pct"/>
            <w:tcBorders>
              <w:top w:val="nil"/>
              <w:left w:val="nil"/>
              <w:bottom w:val="single" w:sz="8" w:space="0" w:color="auto"/>
              <w:right w:val="single" w:sz="8" w:space="0" w:color="auto"/>
            </w:tcBorders>
            <w:noWrap/>
            <w:vAlign w:val="center"/>
          </w:tcPr>
          <w:p w:rsidR="0042058C" w:rsidRPr="0042058C" w:rsidRDefault="0042058C" w:rsidP="0042058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644,6</w:t>
            </w:r>
          </w:p>
        </w:tc>
      </w:tr>
    </w:tbl>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Изменение характера демографических процессов будет сопровождаться существенными изменениями демографической нагрузки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трудоспособное население Труновского муниципального округа.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Трансформация, в первую очередь будет связана с увеличением численности лиц старше трудоспособного возраста и сокращением – моложе трудоспособного. </w:t>
      </w:r>
      <w:bookmarkStart w:id="83" w:name="_Hlk48559808"/>
      <w:r w:rsidRPr="0042058C">
        <w:rPr>
          <w:rFonts w:ascii="Times New Roman" w:eastAsia="Times New Roman" w:hAnsi="Times New Roman" w:cs="Times New Roman"/>
          <w:sz w:val="28"/>
          <w:szCs w:val="28"/>
          <w:lang w:eastAsia="ru-RU"/>
        </w:rPr>
        <w:t xml:space="preserve">Согласно среднему варианту развития с 2021 г. по 2041 г. показатель нагрузки увеличится на 11,2%. Положительной тенденцией следует считать довольно значительное превышение трудоспособного населения над нетрудоспособным во всех территориальных управлениях. Наиболее благоприятная ситуация сложится в ТУ с. Новая Кугульта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ТУ с. Подлесное, в которых на 1000 чел. трудоспособного возраста будет приходиться соответственно 653 и 662 чел. нетрудоспособных возрастов.</w:t>
      </w:r>
    </w:p>
    <w:bookmarkEnd w:id="83"/>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Вместе с тем, пенсионная реформа, проведенная в России в 2019 году, привела к перераспределению населения в старших возрастных категориях, что искусственно повлияет на некоторую стабилизацию возрастной структуры в целом по округу.</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перспективе вероятность развития демографических процессов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муниципальном округе будет определяться сложным сочетанием политических, экономических. и социальных факторов, масштабами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эффективностью социально-экономического развития, в том числе, преодоления кризисных явлений на федеральном, региональном </w:t>
      </w:r>
      <w:r w:rsidR="005220F5">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муниципальном уровне. Немаловажное значение имеет осуществление демографической и миграционной политики и осуществление крупных инвестиционных проектов.</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 целом прогнозные оценки развития демографической ситуации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в Труновском муниципальном округе до 2046 г. будет иметь ряд особенностей, в большинстве случаев, негативных. Усилится тенденция сокращения численности населения.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Динамика рождаемости предполагается снижение показателей, как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в целом по округу, так и по всем территориальным управлениям.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На показатели рождаемости существенное влияние оказывает число женщин в фертильном возрасте, численность которых также сокращается во всех, без исключения, ТУ.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Снижение смертности относительно незначительное и не может серьезно повлиять на изменение демографической ситуации.</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Объемы миграции стабилизируются, что связано с уменьшением миграционного потенциала. Предполагается постепенное увеличение числа прибывших, наблюдается и тенденция сокращения обратного миграционного потока. При оптимистическом и среднем варианте происходит постепенный переход к положительным значениям миграционного прироста в конце периода.</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Естественная убыль и миграционный отток приводят к деформации возрастной структуры. Усиливаются процессы «старения населения». Происходит сокращение доли лиц моложе трудоспособного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трудоспособного возраста, повышается удельный вес населения старше трудоспособного возраста. </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Увеличивается показатель демографической нагрузки, вместе с тем, трудоспособное население в течение всего прогнозного срока преобладает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в муниципальном округе и во всех территориальных управлениях.</w:t>
      </w:r>
    </w:p>
    <w:p w:rsidR="0042058C" w:rsidRPr="0042058C" w:rsidRDefault="0042058C" w:rsidP="0042058C">
      <w:pPr>
        <w:overflowPunct w:val="0"/>
        <w:autoSpaceDE w:val="0"/>
        <w:autoSpaceDN w:val="0"/>
        <w:adjustRightInd w:val="0"/>
        <w:spacing w:after="0"/>
        <w:ind w:firstLine="709"/>
        <w:jc w:val="both"/>
        <w:textAlignment w:val="baseline"/>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Относительно благоприятная демографическая ситуация прогнозируется в территориальном управлении с. Новая Кугульта </w:t>
      </w:r>
      <w:r w:rsidR="005220F5">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территориальном управлении с. Подлесное. Негативной следует считать тенденцию в центре округа – территориальном управлении с. Донское.</w:t>
      </w:r>
    </w:p>
    <w:p w:rsidR="0042058C" w:rsidRPr="0042058C" w:rsidRDefault="0042058C" w:rsidP="005220F5">
      <w:pPr>
        <w:spacing w:after="0"/>
        <w:ind w:firstLine="709"/>
        <w:jc w:val="both"/>
        <w:outlineLvl w:val="1"/>
        <w:rPr>
          <w:rFonts w:ascii="Times New Roman" w:eastAsia="Times New Roman" w:hAnsi="Times New Roman" w:cs="Times New Roman"/>
          <w:sz w:val="28"/>
          <w:szCs w:val="28"/>
          <w:lang w:eastAsia="ar-SA"/>
        </w:rPr>
      </w:pPr>
      <w:bookmarkStart w:id="84" w:name="_Toc85173315"/>
      <w:r w:rsidRPr="0042058C">
        <w:rPr>
          <w:rFonts w:ascii="Times New Roman" w:eastAsia="Calibri" w:hAnsi="Times New Roman" w:cs="Times New Roman"/>
          <w:sz w:val="28"/>
          <w:szCs w:val="28"/>
        </w:rPr>
        <w:t xml:space="preserve">2. </w:t>
      </w:r>
      <w:bookmarkEnd w:id="84"/>
      <w:r w:rsidRPr="0042058C">
        <w:rPr>
          <w:rFonts w:ascii="Times New Roman" w:eastAsia="Times New Roman" w:hAnsi="Times New Roman" w:cs="Times New Roman"/>
          <w:sz w:val="28"/>
          <w:szCs w:val="28"/>
          <w:lang w:eastAsia="ar-SA"/>
        </w:rPr>
        <w:t>Проектом генерального плана Труновского муниципального округа предполагается выделение на первую очередь и расчетный срок генерального плана земельных участков под жилую застройку общей площадью 55,02 га.</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Учитывая сложившиеся в округе тенденции, будет преобладать индивидуальная и малоэтажная жилая застройка. Площади для жилищного строительства зарезервированы в с. Донском и с. Безопасном (таблица). </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0</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Резервирование земель для жилищного строительства в населенных пунктах Труновского муниципального округа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4782"/>
        <w:gridCol w:w="4782"/>
      </w:tblGrid>
      <w:tr w:rsidR="0042058C" w:rsidRPr="0042058C" w:rsidTr="0042058C">
        <w:trPr>
          <w:trHeight w:val="324"/>
        </w:trPr>
        <w:tc>
          <w:tcPr>
            <w:tcW w:w="2500" w:type="pct"/>
            <w:tcMar>
              <w:top w:w="0" w:type="dxa"/>
              <w:left w:w="105" w:type="dxa"/>
              <w:bottom w:w="0" w:type="dxa"/>
              <w:right w:w="105" w:type="dxa"/>
            </w:tcMar>
            <w:vAlign w:val="center"/>
            <w:hideMark/>
          </w:tcPr>
          <w:p w:rsidR="0042058C" w:rsidRPr="0042058C" w:rsidRDefault="0042058C" w:rsidP="0042058C">
            <w:pPr>
              <w:spacing w:before="100" w:beforeAutospacing="1" w:after="100" w:afterAutospacing="1" w:line="256"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населенного пункта</w:t>
            </w:r>
          </w:p>
        </w:tc>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Площадь застройки индивидуальными жилыми домами, га</w:t>
            </w:r>
          </w:p>
        </w:tc>
      </w:tr>
      <w:tr w:rsidR="0042058C" w:rsidRPr="0042058C" w:rsidTr="0042058C">
        <w:trPr>
          <w:trHeight w:val="176"/>
        </w:trPr>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45,56</w:t>
            </w:r>
          </w:p>
        </w:tc>
      </w:tr>
      <w:tr w:rsidR="0042058C" w:rsidRPr="0042058C" w:rsidTr="0042058C">
        <w:trPr>
          <w:trHeight w:val="165"/>
        </w:trPr>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9,46</w:t>
            </w:r>
          </w:p>
        </w:tc>
      </w:tr>
      <w:tr w:rsidR="0042058C" w:rsidRPr="0042058C" w:rsidTr="0042058C">
        <w:trPr>
          <w:trHeight w:val="165"/>
        </w:trPr>
        <w:tc>
          <w:tcPr>
            <w:tcW w:w="2500" w:type="pct"/>
            <w:tcMar>
              <w:top w:w="0" w:type="dxa"/>
              <w:left w:w="105" w:type="dxa"/>
              <w:bottom w:w="0" w:type="dxa"/>
              <w:right w:w="105" w:type="dxa"/>
            </w:tcMar>
            <w:vAlign w:val="bottom"/>
          </w:tcPr>
          <w:p w:rsidR="0042058C" w:rsidRPr="0042058C" w:rsidRDefault="0042058C" w:rsidP="0042058C">
            <w:pPr>
              <w:spacing w:before="100" w:beforeAutospacing="1" w:after="100" w:afterAutospacing="1" w:line="256"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Всего в Труновском муниципальном округе</w:t>
            </w:r>
          </w:p>
        </w:tc>
        <w:tc>
          <w:tcPr>
            <w:tcW w:w="2500" w:type="pct"/>
            <w:tcMar>
              <w:top w:w="0" w:type="dxa"/>
              <w:left w:w="105" w:type="dxa"/>
              <w:bottom w:w="0" w:type="dxa"/>
              <w:right w:w="105" w:type="dxa"/>
            </w:tcMar>
            <w:vAlign w:val="center"/>
          </w:tcPr>
          <w:p w:rsidR="0042058C" w:rsidRPr="0042058C" w:rsidRDefault="0042058C" w:rsidP="0042058C">
            <w:pPr>
              <w:spacing w:before="100" w:beforeAutospacing="1" w:after="100" w:afterAutospacing="1" w:line="256"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55,02</w:t>
            </w:r>
          </w:p>
        </w:tc>
      </w:tr>
    </w:tbl>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p>
    <w:p w:rsidR="0042058C" w:rsidRPr="0042058C" w:rsidRDefault="0042058C" w:rsidP="0042058C">
      <w:pPr>
        <w:shd w:val="clear" w:color="auto" w:fill="FFFFFF"/>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shd w:val="clear" w:color="auto" w:fill="FFFFFF"/>
          <w:lang w:eastAsia="ar-SA"/>
        </w:rPr>
        <w:t xml:space="preserve">Согласно «Стратегии социально-экономического развития Ставропольского края до 2035 года» показатель </w:t>
      </w:r>
      <w:r w:rsidRPr="0042058C">
        <w:rPr>
          <w:rFonts w:ascii="Times New Roman" w:eastAsia="Times New Roman" w:hAnsi="Times New Roman" w:cs="Times New Roman"/>
          <w:sz w:val="28"/>
          <w:szCs w:val="28"/>
          <w:lang w:eastAsia="ar-SA"/>
        </w:rPr>
        <w:t>средней жилищной обеспеченности в крае должен достигать 30 м</w:t>
      </w:r>
      <w:r w:rsidRPr="0042058C">
        <w:rPr>
          <w:rFonts w:ascii="Times New Roman" w:eastAsia="Times New Roman" w:hAnsi="Times New Roman" w:cs="Times New Roman"/>
          <w:sz w:val="28"/>
          <w:szCs w:val="28"/>
          <w:vertAlign w:val="superscript"/>
          <w:lang w:eastAsia="ar-SA"/>
        </w:rPr>
        <w:t xml:space="preserve">2 </w:t>
      </w:r>
      <w:r w:rsidRPr="0042058C">
        <w:rPr>
          <w:rFonts w:ascii="Times New Roman" w:eastAsia="Times New Roman" w:hAnsi="Times New Roman" w:cs="Times New Roman"/>
          <w:sz w:val="28"/>
          <w:szCs w:val="28"/>
          <w:lang w:eastAsia="ar-SA"/>
        </w:rPr>
        <w:t>на человека.</w:t>
      </w:r>
      <w:r w:rsidRPr="0042058C">
        <w:rPr>
          <w:rFonts w:ascii="Times New Roman" w:eastAsia="Times New Roman" w:hAnsi="Times New Roman" w:cs="Times New Roman"/>
          <w:sz w:val="28"/>
          <w:szCs w:val="28"/>
          <w:shd w:val="clear" w:color="auto" w:fill="FFFFFF"/>
          <w:lang w:eastAsia="ar-SA"/>
        </w:rPr>
        <w:t xml:space="preserve"> Для достижения</w:t>
      </w:r>
      <w:r w:rsidRPr="0042058C">
        <w:rPr>
          <w:rFonts w:ascii="Times New Roman" w:eastAsia="Times New Roman" w:hAnsi="Times New Roman" w:cs="Times New Roman"/>
          <w:sz w:val="28"/>
          <w:szCs w:val="28"/>
          <w:lang w:eastAsia="ar-SA"/>
        </w:rPr>
        <w:t xml:space="preserve"> данной средней жилищной обеспеченности в муниципальном округе темпы строительства к расчетному сроку должны составить не менее 6044 м</w:t>
      </w:r>
      <w:r w:rsidRPr="0042058C">
        <w:rPr>
          <w:rFonts w:ascii="Times New Roman" w:eastAsia="Times New Roman" w:hAnsi="Times New Roman" w:cs="Times New Roman"/>
          <w:sz w:val="28"/>
          <w:szCs w:val="28"/>
          <w:vertAlign w:val="superscript"/>
          <w:lang w:eastAsia="ar-SA"/>
        </w:rPr>
        <w:t>2</w:t>
      </w:r>
      <w:r w:rsidRPr="0042058C">
        <w:rPr>
          <w:rFonts w:ascii="Times New Roman" w:eastAsia="Times New Roman" w:hAnsi="Times New Roman" w:cs="Times New Roman"/>
          <w:sz w:val="28"/>
          <w:szCs w:val="28"/>
          <w:lang w:eastAsia="ar-SA"/>
        </w:rPr>
        <w:t xml:space="preserve"> в год.</w:t>
      </w:r>
    </w:p>
    <w:p w:rsidR="0042058C" w:rsidRPr="0042058C" w:rsidRDefault="0042058C" w:rsidP="0042058C">
      <w:pPr>
        <w:shd w:val="clear" w:color="auto" w:fill="FFFFFF"/>
        <w:suppressAutoHyphens/>
        <w:spacing w:after="0"/>
        <w:ind w:firstLine="709"/>
        <w:jc w:val="both"/>
        <w:rPr>
          <w:rFonts w:ascii="Times New Roman" w:eastAsia="Times New Roman" w:hAnsi="Times New Roman" w:cs="Times New Roman"/>
          <w:sz w:val="28"/>
          <w:szCs w:val="28"/>
          <w:lang w:eastAsia="ar-SA"/>
        </w:rPr>
      </w:pPr>
    </w:p>
    <w:p w:rsidR="00F62636" w:rsidRDefault="0042058C" w:rsidP="00F62636">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1</w:t>
      </w:r>
    </w:p>
    <w:p w:rsidR="0042058C" w:rsidRPr="0042058C" w:rsidRDefault="0042058C" w:rsidP="00F62636">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Расчет необходимого объема жилищного строительства в территориальных отделах Труновского муниципального округа</w:t>
      </w:r>
    </w:p>
    <w:p w:rsidR="0042058C" w:rsidRPr="0042058C" w:rsidRDefault="0042058C" w:rsidP="0042058C">
      <w:pPr>
        <w:keepNext/>
        <w:spacing w:after="0" w:line="240" w:lineRule="auto"/>
        <w:jc w:val="center"/>
        <w:rPr>
          <w:rFonts w:ascii="Times New Roman" w:eastAsia="Calibri" w:hAnsi="Times New Roman" w:cs="Times New Roman"/>
          <w:bCs/>
          <w:sz w:val="28"/>
          <w:szCs w:val="28"/>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33"/>
        <w:gridCol w:w="1249"/>
        <w:gridCol w:w="1387"/>
        <w:gridCol w:w="1249"/>
        <w:gridCol w:w="1387"/>
        <w:gridCol w:w="1210"/>
        <w:gridCol w:w="1353"/>
      </w:tblGrid>
      <w:tr w:rsidR="0042058C" w:rsidRPr="0042058C" w:rsidTr="0042058C">
        <w:trPr>
          <w:trHeight w:val="20"/>
        </w:trPr>
        <w:tc>
          <w:tcPr>
            <w:tcW w:w="870"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Территориальное управление </w:t>
            </w:r>
          </w:p>
        </w:tc>
        <w:tc>
          <w:tcPr>
            <w:tcW w:w="66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vertAlign w:val="superscript"/>
              </w:rPr>
            </w:pPr>
            <w:r w:rsidRPr="0042058C">
              <w:rPr>
                <w:rFonts w:ascii="Times New Roman" w:eastAsia="Times New Roman" w:hAnsi="Times New Roman" w:cs="Times New Roman"/>
                <w:color w:val="000000"/>
                <w:sz w:val="20"/>
                <w:szCs w:val="20"/>
              </w:rPr>
              <w:t>Численность населения 2021 г., чел.</w:t>
            </w:r>
          </w:p>
        </w:tc>
        <w:tc>
          <w:tcPr>
            <w:tcW w:w="740"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vertAlign w:val="superscript"/>
              </w:rPr>
            </w:pPr>
            <w:r w:rsidRPr="0042058C">
              <w:rPr>
                <w:rFonts w:ascii="Times New Roman" w:eastAsia="Times New Roman" w:hAnsi="Times New Roman" w:cs="Times New Roman"/>
                <w:color w:val="000000"/>
                <w:sz w:val="20"/>
                <w:szCs w:val="20"/>
              </w:rPr>
              <w:t>Объем жилищного фонда 2020 г., тыс. м</w:t>
            </w:r>
            <w:r w:rsidRPr="0042058C">
              <w:rPr>
                <w:rFonts w:ascii="Times New Roman" w:eastAsia="Times New Roman" w:hAnsi="Times New Roman" w:cs="Times New Roman"/>
                <w:color w:val="000000"/>
                <w:sz w:val="20"/>
                <w:szCs w:val="20"/>
                <w:vertAlign w:val="superscript"/>
              </w:rPr>
              <w:t>2</w:t>
            </w:r>
          </w:p>
        </w:tc>
        <w:tc>
          <w:tcPr>
            <w:tcW w:w="667"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Численность населения 2031 г., чел.</w:t>
            </w:r>
          </w:p>
        </w:tc>
        <w:tc>
          <w:tcPr>
            <w:tcW w:w="740" w:type="pct"/>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Объем необходимого жилищного фонда к 2031 г., тыс. м</w:t>
            </w:r>
            <w:r w:rsidRPr="0042058C">
              <w:rPr>
                <w:rFonts w:ascii="Times New Roman" w:eastAsia="Times New Roman" w:hAnsi="Times New Roman" w:cs="Times New Roman"/>
                <w:color w:val="000000"/>
                <w:sz w:val="20"/>
                <w:szCs w:val="20"/>
                <w:vertAlign w:val="superscript"/>
              </w:rPr>
              <w:t>2</w:t>
            </w:r>
          </w:p>
        </w:tc>
        <w:tc>
          <w:tcPr>
            <w:tcW w:w="593" w:type="pct"/>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Численность населения 2041 г., чел.</w:t>
            </w:r>
          </w:p>
        </w:tc>
        <w:tc>
          <w:tcPr>
            <w:tcW w:w="722"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Объем необходимого жилищного фонда к 2041 г., тыс. м</w:t>
            </w:r>
            <w:r w:rsidRPr="0042058C">
              <w:rPr>
                <w:rFonts w:ascii="Times New Roman" w:eastAsia="Times New Roman" w:hAnsi="Times New Roman" w:cs="Times New Roman"/>
                <w:color w:val="000000"/>
                <w:sz w:val="20"/>
                <w:szCs w:val="20"/>
                <w:vertAlign w:val="superscript"/>
              </w:rPr>
              <w:t>2</w:t>
            </w:r>
          </w:p>
        </w:tc>
      </w:tr>
      <w:tr w:rsidR="0042058C" w:rsidRPr="0042058C" w:rsidTr="0042058C">
        <w:trPr>
          <w:trHeight w:val="20"/>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13492</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388,9</w:t>
            </w:r>
          </w:p>
        </w:tc>
        <w:tc>
          <w:tcPr>
            <w:tcW w:w="667"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11796</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353,9</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10630</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318,9</w:t>
            </w:r>
          </w:p>
        </w:tc>
      </w:tr>
      <w:tr w:rsidR="0042058C" w:rsidRPr="0042058C" w:rsidTr="0042058C">
        <w:trPr>
          <w:trHeight w:val="20"/>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6069</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121,0</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5378</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161,34</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4872</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146,2</w:t>
            </w:r>
          </w:p>
        </w:tc>
      </w:tr>
      <w:tr w:rsidR="0042058C" w:rsidRPr="0042058C" w:rsidTr="0042058C">
        <w:trPr>
          <w:trHeight w:val="259"/>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637</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17,8</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570</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17,1</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524</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15,7</w:t>
            </w:r>
          </w:p>
        </w:tc>
      </w:tr>
      <w:tr w:rsidR="0042058C" w:rsidRPr="0042058C" w:rsidTr="0042058C">
        <w:trPr>
          <w:trHeight w:val="224"/>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1548</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44,9</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1432</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43,0</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1362</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40,9</w:t>
            </w:r>
          </w:p>
        </w:tc>
      </w:tr>
      <w:tr w:rsidR="0042058C" w:rsidRPr="0042058C" w:rsidTr="0042058C">
        <w:trPr>
          <w:trHeight w:val="202"/>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5681</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145,5</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4925</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147,8</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4442</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133,3</w:t>
            </w:r>
          </w:p>
        </w:tc>
      </w:tr>
      <w:tr w:rsidR="0042058C" w:rsidRPr="0042058C" w:rsidTr="0042058C">
        <w:trPr>
          <w:trHeight w:val="194"/>
        </w:trPr>
        <w:tc>
          <w:tcPr>
            <w:tcW w:w="870"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2419</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56,4</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1738</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52,1</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1287</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38,6</w:t>
            </w:r>
          </w:p>
        </w:tc>
      </w:tr>
      <w:tr w:rsidR="0042058C" w:rsidRPr="0042058C" w:rsidTr="0042058C">
        <w:trPr>
          <w:trHeight w:val="319"/>
        </w:trPr>
        <w:tc>
          <w:tcPr>
            <w:tcW w:w="870" w:type="pct"/>
            <w:shd w:val="clear" w:color="auto" w:fill="auto"/>
            <w:vAlign w:val="center"/>
          </w:tcPr>
          <w:p w:rsidR="0042058C" w:rsidRPr="0042058C" w:rsidRDefault="0042058C" w:rsidP="0042058C">
            <w:pPr>
              <w:spacing w:after="0" w:line="240" w:lineRule="auto"/>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 xml:space="preserve">Всего </w:t>
            </w:r>
          </w:p>
        </w:tc>
        <w:tc>
          <w:tcPr>
            <w:tcW w:w="667" w:type="pct"/>
            <w:shd w:val="clear" w:color="auto" w:fill="auto"/>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29846</w:t>
            </w:r>
          </w:p>
        </w:tc>
        <w:tc>
          <w:tcPr>
            <w:tcW w:w="740"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774,5</w:t>
            </w:r>
          </w:p>
        </w:tc>
        <w:tc>
          <w:tcPr>
            <w:tcW w:w="667"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25839</w:t>
            </w:r>
          </w:p>
        </w:tc>
        <w:tc>
          <w:tcPr>
            <w:tcW w:w="740" w:type="pct"/>
            <w:vAlign w:val="center"/>
          </w:tcPr>
          <w:p w:rsidR="0042058C" w:rsidRPr="0042058C" w:rsidRDefault="0042058C" w:rsidP="0042058C">
            <w:pPr>
              <w:spacing w:after="0" w:line="240" w:lineRule="auto"/>
              <w:jc w:val="right"/>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775,2</w:t>
            </w:r>
          </w:p>
        </w:tc>
        <w:tc>
          <w:tcPr>
            <w:tcW w:w="593" w:type="pct"/>
            <w:vAlign w:val="center"/>
          </w:tcPr>
          <w:p w:rsidR="0042058C" w:rsidRPr="0042058C" w:rsidRDefault="0042058C" w:rsidP="0042058C">
            <w:pPr>
              <w:spacing w:after="0" w:line="240" w:lineRule="auto"/>
              <w:jc w:val="right"/>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23117</w:t>
            </w:r>
          </w:p>
        </w:tc>
        <w:tc>
          <w:tcPr>
            <w:tcW w:w="722" w:type="pct"/>
            <w:vAlign w:val="center"/>
          </w:tcPr>
          <w:p w:rsidR="0042058C" w:rsidRPr="0042058C" w:rsidRDefault="0042058C" w:rsidP="0042058C">
            <w:pPr>
              <w:spacing w:after="0" w:line="240" w:lineRule="auto"/>
              <w:jc w:val="right"/>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693,5</w:t>
            </w:r>
          </w:p>
        </w:tc>
      </w:tr>
    </w:tbl>
    <w:p w:rsidR="0042058C" w:rsidRPr="0042058C" w:rsidRDefault="0042058C" w:rsidP="0042058C">
      <w:pPr>
        <w:shd w:val="clear" w:color="auto" w:fill="FFFFFF"/>
        <w:suppressAutoHyphens/>
        <w:spacing w:after="0"/>
        <w:ind w:firstLine="709"/>
        <w:jc w:val="both"/>
        <w:rPr>
          <w:rFonts w:ascii="Times New Roman" w:eastAsia="Times New Roman" w:hAnsi="Times New Roman" w:cs="Times New Roman"/>
          <w:sz w:val="28"/>
          <w:szCs w:val="28"/>
          <w:shd w:val="clear" w:color="auto" w:fill="FFFFFF"/>
          <w:lang w:eastAsia="ar-SA"/>
        </w:rPr>
      </w:pPr>
    </w:p>
    <w:p w:rsidR="0042058C" w:rsidRPr="0042058C" w:rsidRDefault="0042058C" w:rsidP="0042058C">
      <w:pPr>
        <w:shd w:val="clear" w:color="auto" w:fill="FFFFFF"/>
        <w:suppressAutoHyphens/>
        <w:spacing w:after="0"/>
        <w:ind w:firstLine="709"/>
        <w:jc w:val="both"/>
        <w:rPr>
          <w:rFonts w:ascii="Times New Roman" w:eastAsia="Times New Roman" w:hAnsi="Times New Roman" w:cs="Times New Roman"/>
          <w:sz w:val="28"/>
          <w:szCs w:val="28"/>
          <w:shd w:val="clear" w:color="auto" w:fill="FFFFFF"/>
          <w:lang w:eastAsia="ar-SA"/>
        </w:rPr>
      </w:pPr>
      <w:r w:rsidRPr="0042058C">
        <w:rPr>
          <w:rFonts w:ascii="Times New Roman" w:eastAsia="Times New Roman" w:hAnsi="Times New Roman" w:cs="Times New Roman"/>
          <w:sz w:val="28"/>
          <w:szCs w:val="28"/>
          <w:shd w:val="clear" w:color="auto" w:fill="FFFFFF"/>
          <w:lang w:eastAsia="ar-SA"/>
        </w:rPr>
        <w:t xml:space="preserve">Анализ жилищного фонда Труновского муниципального округа позволяет сделать вывод о достаточной обеспеченности жилыми помещениями жителей округа. Следует отметить имеющееся неравенство обеспеченности населения жильем в расчете на одного жителя </w:t>
      </w:r>
      <w:r w:rsidR="005220F5">
        <w:rPr>
          <w:rFonts w:ascii="Times New Roman" w:eastAsia="Times New Roman" w:hAnsi="Times New Roman" w:cs="Times New Roman"/>
          <w:sz w:val="28"/>
          <w:szCs w:val="28"/>
          <w:shd w:val="clear" w:color="auto" w:fill="FFFFFF"/>
          <w:lang w:eastAsia="ar-SA"/>
        </w:rPr>
        <w:t xml:space="preserve">                          </w:t>
      </w:r>
      <w:r w:rsidRPr="0042058C">
        <w:rPr>
          <w:rFonts w:ascii="Times New Roman" w:eastAsia="Times New Roman" w:hAnsi="Times New Roman" w:cs="Times New Roman"/>
          <w:sz w:val="28"/>
          <w:szCs w:val="28"/>
          <w:shd w:val="clear" w:color="auto" w:fill="FFFFFF"/>
          <w:lang w:eastAsia="ar-SA"/>
        </w:rPr>
        <w:t>в территориальных управлениях округа. Запланированное жилищное строительство обеспечит решение проблемы.</w:t>
      </w:r>
    </w:p>
    <w:p w:rsidR="0042058C" w:rsidRPr="0042058C" w:rsidRDefault="0042058C" w:rsidP="005220F5">
      <w:pPr>
        <w:spacing w:after="0"/>
        <w:ind w:firstLine="709"/>
        <w:jc w:val="both"/>
        <w:outlineLvl w:val="1"/>
        <w:rPr>
          <w:rFonts w:ascii="Times New Roman" w:eastAsia="Calibri" w:hAnsi="Times New Roman" w:cs="Times New Roman"/>
          <w:sz w:val="28"/>
          <w:szCs w:val="28"/>
        </w:rPr>
      </w:pPr>
      <w:bookmarkStart w:id="85" w:name="_Toc85173316"/>
      <w:r w:rsidRPr="0042058C">
        <w:rPr>
          <w:rFonts w:ascii="Times New Roman" w:eastAsia="Calibri" w:hAnsi="Times New Roman" w:cs="Times New Roman"/>
          <w:sz w:val="28"/>
          <w:szCs w:val="28"/>
        </w:rPr>
        <w:t xml:space="preserve">3. </w:t>
      </w:r>
      <w:bookmarkEnd w:id="85"/>
      <w:r w:rsidRPr="0042058C">
        <w:rPr>
          <w:rFonts w:ascii="Times New Roman" w:eastAsia="Calibri" w:hAnsi="Times New Roman" w:cs="Times New Roman"/>
          <w:sz w:val="28"/>
          <w:szCs w:val="28"/>
        </w:rPr>
        <w:t xml:space="preserve">Социальная сфера является одной из наиболее важных сфер муниципального округа. Важнейшей задачей социально-экономического развития является приведение социальной сферы в соответствие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со структурой расселения на основе установленных нормативов. </w:t>
      </w:r>
    </w:p>
    <w:p w:rsidR="0042058C" w:rsidRPr="0042058C" w:rsidRDefault="0042058C" w:rsidP="0042058C">
      <w:pPr>
        <w:suppressAutoHyphens/>
        <w:spacing w:after="0"/>
        <w:ind w:firstLine="709"/>
        <w:jc w:val="both"/>
        <w:rPr>
          <w:rFonts w:ascii="Times New Roman" w:eastAsia="Calibri" w:hAnsi="Times New Roman" w:cs="Times New Roman"/>
          <w:sz w:val="28"/>
          <w:szCs w:val="28"/>
        </w:rPr>
      </w:pPr>
      <w:r w:rsidRPr="0042058C">
        <w:rPr>
          <w:rFonts w:ascii="Times New Roman" w:eastAsia="Times New Roman" w:hAnsi="Times New Roman" w:cs="Times New Roman"/>
          <w:sz w:val="28"/>
          <w:szCs w:val="28"/>
          <w:lang w:eastAsia="ar-SA"/>
        </w:rPr>
        <w:t>Основная задача проекта генерального плана заключается в разработке предложений по оптимизации территориальной организации социально-культурной инфраструктуры, обеспечивающих наилучший уровень обслуживания населения на всей территории муниципального округа.</w:t>
      </w:r>
    </w:p>
    <w:p w:rsidR="0042058C" w:rsidRPr="0042058C" w:rsidRDefault="0042058C" w:rsidP="0042058C">
      <w:pPr>
        <w:suppressAutoHyphen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разрезе отраслей социальной сферы (образование, здравоохранение, культура, физическая культура и спорт) представлен перечень мероприятий по реконструкции действующих объектов капитального строительства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строительству новых объектов, предусмотренных к размещению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действующих границах муниципального округа. </w:t>
      </w:r>
    </w:p>
    <w:p w:rsidR="0042058C" w:rsidRPr="0042058C" w:rsidRDefault="0042058C" w:rsidP="0042058C">
      <w:pPr>
        <w:suppressAutoHyphen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Полученные расчетные данные перспективной численности населения муниципального округа позволят прогнозировать спрос на услуги объектов социальной инфраструктуры, учитывая мероприятия по выбытию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из эксплуатации объектов, находящихся в неудовлетворительном техническом состоянии.</w:t>
      </w:r>
    </w:p>
    <w:p w:rsidR="0042058C" w:rsidRPr="0042058C" w:rsidRDefault="0042058C" w:rsidP="0042058C">
      <w:pPr>
        <w:spacing w:after="0"/>
        <w:ind w:left="567"/>
        <w:jc w:val="both"/>
        <w:outlineLvl w:val="2"/>
        <w:rPr>
          <w:rFonts w:ascii="Times New Roman" w:eastAsia="Calibri" w:hAnsi="Times New Roman" w:cs="Times New Roman"/>
          <w:sz w:val="28"/>
          <w:szCs w:val="28"/>
        </w:rPr>
      </w:pPr>
      <w:bookmarkStart w:id="86" w:name="_Toc85173317"/>
      <w:r w:rsidRPr="0042058C">
        <w:rPr>
          <w:rFonts w:ascii="Times New Roman" w:eastAsia="Calibri" w:hAnsi="Times New Roman" w:cs="Times New Roman"/>
          <w:sz w:val="28"/>
          <w:szCs w:val="28"/>
        </w:rPr>
        <w:t>1</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Образование</w:t>
      </w:r>
      <w:bookmarkEnd w:id="86"/>
      <w:r w:rsidRPr="0042058C">
        <w:rPr>
          <w:rFonts w:ascii="Times New Roman" w:eastAsia="Calibri" w:hAnsi="Times New Roman" w:cs="Times New Roman"/>
          <w:sz w:val="28"/>
          <w:szCs w:val="28"/>
        </w:rPr>
        <w:t>.</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Развитие системы образования определяет прогнозные перспективы трансформации поселенческой сети. Сохранение образовательных учреждений в населенных пунктах позволяет замедлить процессы снижения численности населения за счет формирования полноценной системы ключевых социально-значимых объектов.</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Потребность населения в местах образовательных учреждениях рассчитана в соответствии со средним вариантом прогноза численности населения соответствующего возраста и на основе показателей, заложенных в письме Министерства образования и науки Российской Федерации от 4 мая 2016 г. № АК-950/02 «О методических рекомендациях» (таблица).</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2</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Нормативные показатели развития сети образовательных учреждений на территории Труновского муниципального округа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72"/>
        <w:gridCol w:w="2552"/>
        <w:gridCol w:w="2269"/>
        <w:gridCol w:w="2691"/>
      </w:tblGrid>
      <w:tr w:rsidR="0042058C" w:rsidRPr="0042058C" w:rsidTr="0042058C">
        <w:tc>
          <w:tcPr>
            <w:tcW w:w="997"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Учреждения, организации, предприятия, сооружения</w:t>
            </w:r>
          </w:p>
        </w:tc>
        <w:tc>
          <w:tcPr>
            <w:tcW w:w="1360"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Единица измерения</w:t>
            </w:r>
          </w:p>
        </w:tc>
        <w:tc>
          <w:tcPr>
            <w:tcW w:w="1209"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Минимальный уровень обеспеченности, мест</w:t>
            </w:r>
          </w:p>
        </w:tc>
        <w:tc>
          <w:tcPr>
            <w:tcW w:w="1435"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Уровень максимальной территориальной доступности</w:t>
            </w:r>
          </w:p>
        </w:tc>
      </w:tr>
      <w:tr w:rsidR="0042058C" w:rsidRPr="0042058C" w:rsidTr="0042058C">
        <w:trPr>
          <w:trHeight w:val="801"/>
        </w:trPr>
        <w:tc>
          <w:tcPr>
            <w:tcW w:w="997" w:type="pct"/>
            <w:shd w:val="clear" w:color="auto" w:fill="auto"/>
            <w:tcMar>
              <w:left w:w="28" w:type="dxa"/>
              <w:right w:w="28" w:type="dxa"/>
            </w:tcMa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Дошкольные образовательные учреждения</w:t>
            </w:r>
          </w:p>
        </w:tc>
        <w:tc>
          <w:tcPr>
            <w:tcW w:w="1360"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 на 100 детей в возрасте от 0 до 7 лет</w:t>
            </w:r>
          </w:p>
        </w:tc>
        <w:tc>
          <w:tcPr>
            <w:tcW w:w="1209"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1435"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500 м</w:t>
            </w:r>
          </w:p>
        </w:tc>
      </w:tr>
      <w:tr w:rsidR="0042058C" w:rsidRPr="0042058C" w:rsidTr="0042058C">
        <w:trPr>
          <w:trHeight w:val="793"/>
        </w:trPr>
        <w:tc>
          <w:tcPr>
            <w:tcW w:w="997" w:type="pct"/>
            <w:shd w:val="clear" w:color="auto" w:fill="auto"/>
            <w:tcMar>
              <w:left w:w="28" w:type="dxa"/>
              <w:right w:w="28" w:type="dxa"/>
            </w:tcMar>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Учреждения общего образования</w:t>
            </w:r>
          </w:p>
        </w:tc>
        <w:tc>
          <w:tcPr>
            <w:tcW w:w="1360"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 на 100 детей в возрасте от 7 до 18 лет</w:t>
            </w:r>
          </w:p>
        </w:tc>
        <w:tc>
          <w:tcPr>
            <w:tcW w:w="1209"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w:t>
            </w:r>
          </w:p>
        </w:tc>
        <w:tc>
          <w:tcPr>
            <w:tcW w:w="1435" w:type="pct"/>
            <w:shd w:val="clear" w:color="auto" w:fill="auto"/>
            <w:tcMar>
              <w:left w:w="28"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 мин.</w:t>
            </w:r>
          </w:p>
        </w:tc>
      </w:tr>
    </w:tbl>
    <w:p w:rsidR="0042058C" w:rsidRPr="0042058C" w:rsidRDefault="0042058C" w:rsidP="0042058C">
      <w:pPr>
        <w:suppressAutoHyphens/>
        <w:spacing w:after="0"/>
        <w:ind w:firstLine="709"/>
        <w:rPr>
          <w:rFonts w:ascii="Times New Roman" w:eastAsia="Times New Roman" w:hAnsi="Times New Roman" w:cs="Times New Roman"/>
          <w:sz w:val="24"/>
          <w:szCs w:val="24"/>
          <w:lang w:eastAsia="ar-SA"/>
        </w:rPr>
      </w:pP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Изменения численности детей дошкольного возраста Труновского муниципального округа определяются демографическими трендами, характерными для населенных пунктов и сложившаяся половозрастная структура населения.</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На первую очередь проектирования численность этой группы снизится на 39,3%, а к 2041 будет отмечаться уменьшение по сравнению с 2021 г. </w:t>
      </w:r>
      <w:r w:rsidR="005220F5">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на 39,4%, что на фоне общей картины динамики численности является неблагоприятным фактором прогнозируемой демографической ситуации (таблица).</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3</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Прогнозная оценка численности детей дошкольного возраста Труновского муниципального округа на расчетную перспективу до 2041 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9356" w:type="dxa"/>
        <w:tblInd w:w="108" w:type="dxa"/>
        <w:tblLayout w:type="fixed"/>
        <w:tblCellMar>
          <w:left w:w="57" w:type="dxa"/>
          <w:right w:w="57" w:type="dxa"/>
        </w:tblCellMar>
        <w:tblLook w:val="04A0" w:firstRow="1" w:lastRow="0" w:firstColumn="1" w:lastColumn="0" w:noHBand="0" w:noVBand="1"/>
      </w:tblPr>
      <w:tblGrid>
        <w:gridCol w:w="3828"/>
        <w:gridCol w:w="708"/>
        <w:gridCol w:w="709"/>
        <w:gridCol w:w="709"/>
        <w:gridCol w:w="1701"/>
        <w:gridCol w:w="1701"/>
      </w:tblGrid>
      <w:tr w:rsidR="0042058C" w:rsidRPr="0042058C" w:rsidTr="0042058C">
        <w:trPr>
          <w:trHeight w:val="227"/>
        </w:trPr>
        <w:tc>
          <w:tcPr>
            <w:tcW w:w="38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 xml:space="preserve">Территориальное управление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2021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2031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2041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Динамика с 2021 по 2031 в%</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Динамика с 2021 по 2041 в%</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2427</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1473</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1471</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-39,3</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-39,4</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1097</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656</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666</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-40,2</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-39,3</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494</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299</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287</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-39,4</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-42,0</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197</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95</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80</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-51,9</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-59,3</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463</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299</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303</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-35,4</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-34,5</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52</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37</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-29,3</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-22,3</w:t>
            </w:r>
          </w:p>
        </w:tc>
      </w:tr>
      <w:tr w:rsidR="0042058C" w:rsidRPr="0042058C" w:rsidTr="0042058C">
        <w:trPr>
          <w:trHeight w:val="227"/>
        </w:trPr>
        <w:tc>
          <w:tcPr>
            <w:tcW w:w="3828" w:type="dxa"/>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708"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125</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88</w:t>
            </w:r>
          </w:p>
        </w:tc>
        <w:tc>
          <w:tcPr>
            <w:tcW w:w="709"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95</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-29,9</w:t>
            </w:r>
          </w:p>
        </w:tc>
        <w:tc>
          <w:tcPr>
            <w:tcW w:w="1701" w:type="dxa"/>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-24,0</w:t>
            </w:r>
          </w:p>
        </w:tc>
      </w:tr>
    </w:tbl>
    <w:p w:rsidR="0042058C" w:rsidRPr="0042058C" w:rsidRDefault="0042058C" w:rsidP="0042058C">
      <w:pPr>
        <w:suppressAutoHyphens/>
        <w:spacing w:after="0"/>
        <w:ind w:firstLine="709"/>
        <w:rPr>
          <w:rFonts w:ascii="Times New Roman" w:eastAsia="Times New Roman" w:hAnsi="Times New Roman" w:cs="Times New Roman"/>
          <w:sz w:val="24"/>
          <w:szCs w:val="24"/>
          <w:lang w:eastAsia="ar-SA"/>
        </w:rPr>
      </w:pP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В соответствии с прогнозом численности населения рассчитана потребность мест в дошкольных учреждениях в разрезе территориальных отделов Труновского муниципального округа (таблица).</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4</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Расчет потребности населения Труновского муниципального округа </w:t>
      </w:r>
      <w:r w:rsidR="005220F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в дошкольных образовательных организациях на расчетный срок действия генерального плана до 2041 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6"/>
        <w:gridCol w:w="1286"/>
        <w:gridCol w:w="1286"/>
        <w:gridCol w:w="1286"/>
        <w:gridCol w:w="1286"/>
        <w:gridCol w:w="1286"/>
        <w:gridCol w:w="1282"/>
      </w:tblGrid>
      <w:tr w:rsidR="0042058C" w:rsidRPr="0042058C" w:rsidTr="0042058C">
        <w:trPr>
          <w:trHeight w:val="986"/>
        </w:trPr>
        <w:tc>
          <w:tcPr>
            <w:tcW w:w="928"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Территориальное управление</w:t>
            </w:r>
          </w:p>
        </w:tc>
        <w:tc>
          <w:tcPr>
            <w:tcW w:w="679"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Проектная мощность действующих объектов</w:t>
            </w:r>
          </w:p>
        </w:tc>
        <w:tc>
          <w:tcPr>
            <w:tcW w:w="679" w:type="pct"/>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Фактическое количество обучающихся</w:t>
            </w:r>
          </w:p>
        </w:tc>
        <w:tc>
          <w:tcPr>
            <w:tcW w:w="6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профицит (+) в 2021 г.</w:t>
            </w:r>
          </w:p>
        </w:tc>
        <w:tc>
          <w:tcPr>
            <w:tcW w:w="6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Прогнозная численность детей (2041)</w:t>
            </w:r>
          </w:p>
        </w:tc>
        <w:tc>
          <w:tcPr>
            <w:tcW w:w="679"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Потребность мест к 2041 г. </w:t>
            </w:r>
          </w:p>
        </w:tc>
        <w:tc>
          <w:tcPr>
            <w:tcW w:w="679"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профицит (+) в 2041 г.</w:t>
            </w:r>
          </w:p>
        </w:tc>
      </w:tr>
      <w:tr w:rsidR="0042058C" w:rsidRPr="0042058C" w:rsidTr="0042058C">
        <w:trPr>
          <w:trHeight w:val="315"/>
        </w:trPr>
        <w:tc>
          <w:tcPr>
            <w:tcW w:w="928" w:type="pct"/>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2160</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1291</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869</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1471</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662</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1498</w:t>
            </w:r>
          </w:p>
        </w:tc>
      </w:tr>
      <w:tr w:rsidR="0042058C" w:rsidRPr="0042058C" w:rsidTr="0042058C">
        <w:trPr>
          <w:trHeight w:val="315"/>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806</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684</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122</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666</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300</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+506</w:t>
            </w:r>
          </w:p>
        </w:tc>
      </w:tr>
      <w:tr w:rsidR="0042058C" w:rsidRPr="0042058C" w:rsidTr="0042058C">
        <w:trPr>
          <w:trHeight w:val="315"/>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340</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204</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136</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287</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129</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+211</w:t>
            </w:r>
          </w:p>
        </w:tc>
      </w:tr>
      <w:tr w:rsidR="0042058C" w:rsidRPr="0042058C" w:rsidTr="0042058C">
        <w:trPr>
          <w:trHeight w:val="315"/>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370</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114</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256</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80</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36</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+334</w:t>
            </w:r>
          </w:p>
        </w:tc>
      </w:tr>
      <w:tr w:rsidR="0042058C" w:rsidRPr="0042058C" w:rsidTr="0042058C">
        <w:trPr>
          <w:trHeight w:val="330"/>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374</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218</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156</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303</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136</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+238</w:t>
            </w:r>
          </w:p>
        </w:tc>
      </w:tr>
      <w:tr w:rsidR="0042058C" w:rsidRPr="0042058C" w:rsidTr="0042058C">
        <w:trPr>
          <w:trHeight w:val="330"/>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108</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+120</w:t>
            </w:r>
          </w:p>
        </w:tc>
      </w:tr>
      <w:tr w:rsidR="0042058C" w:rsidRPr="0042058C" w:rsidTr="0042058C">
        <w:trPr>
          <w:trHeight w:val="330"/>
        </w:trPr>
        <w:tc>
          <w:tcPr>
            <w:tcW w:w="928"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132</w:t>
            </w:r>
          </w:p>
        </w:tc>
        <w:tc>
          <w:tcPr>
            <w:tcW w:w="679" w:type="pct"/>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41</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91</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95</w:t>
            </w:r>
          </w:p>
        </w:tc>
        <w:tc>
          <w:tcPr>
            <w:tcW w:w="679" w:type="pct"/>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43</w:t>
            </w:r>
          </w:p>
        </w:tc>
        <w:tc>
          <w:tcPr>
            <w:tcW w:w="679" w:type="pc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+89</w:t>
            </w:r>
          </w:p>
        </w:tc>
      </w:tr>
    </w:tbl>
    <w:p w:rsidR="0042058C" w:rsidRPr="0042058C" w:rsidRDefault="0042058C" w:rsidP="0042058C">
      <w:pPr>
        <w:suppressAutoHyphens/>
        <w:spacing w:after="0"/>
        <w:ind w:firstLine="709"/>
        <w:jc w:val="both"/>
        <w:rPr>
          <w:rFonts w:ascii="Times New Roman" w:eastAsia="Times New Roman" w:hAnsi="Times New Roman" w:cs="Times New Roman"/>
          <w:sz w:val="24"/>
          <w:szCs w:val="24"/>
          <w:lang w:eastAsia="ar-SA"/>
        </w:rPr>
      </w:pP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С учетом прогнозного изменения численности детского населения муниципального округа ожидается профицит мест в дошкольных образовательных учреждениях Труновского муниципального округа.</w:t>
      </w:r>
    </w:p>
    <w:p w:rsidR="0042058C" w:rsidRPr="0042058C" w:rsidRDefault="0042058C" w:rsidP="0042058C">
      <w:pPr>
        <w:autoSpaceDE w:val="0"/>
        <w:autoSpaceDN w:val="0"/>
        <w:adjustRightInd w:val="0"/>
        <w:spacing w:after="0" w:line="240" w:lineRule="auto"/>
        <w:ind w:firstLine="708"/>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Численность детей школьного возраста на первую очередь снизится на 26,3%, а к 2041 году будет отмечаться снижение численности группы детей школьного возраста по сравнению с 2021 г. на 47,9%, что так же, как </w:t>
      </w:r>
      <w:r w:rsidR="005220F5">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ситуация с дошкольными образовательными учреждениями, является неблагоприятным фактором прогнозируемой демографической ситуации.</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5</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Прогнозная оценка численности детей школьного возраста Труновского муниципального округа на расчетную перспективу до 2041 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Layout w:type="fixed"/>
        <w:tblCellMar>
          <w:left w:w="57" w:type="dxa"/>
          <w:right w:w="57" w:type="dxa"/>
        </w:tblCellMar>
        <w:tblLook w:val="04A0" w:firstRow="1" w:lastRow="0" w:firstColumn="1" w:lastColumn="0" w:noHBand="0" w:noVBand="1"/>
      </w:tblPr>
      <w:tblGrid>
        <w:gridCol w:w="2538"/>
        <w:gridCol w:w="1110"/>
        <w:gridCol w:w="1110"/>
        <w:gridCol w:w="1112"/>
        <w:gridCol w:w="1799"/>
        <w:gridCol w:w="1799"/>
      </w:tblGrid>
      <w:tr w:rsidR="0042058C" w:rsidRPr="0042058C" w:rsidTr="0042058C">
        <w:trPr>
          <w:trHeight w:val="227"/>
        </w:trPr>
        <w:tc>
          <w:tcPr>
            <w:tcW w:w="13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Территориальное управление</w:t>
            </w:r>
          </w:p>
        </w:tc>
        <w:tc>
          <w:tcPr>
            <w:tcW w:w="586" w:type="pct"/>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2021</w:t>
            </w:r>
          </w:p>
        </w:tc>
        <w:tc>
          <w:tcPr>
            <w:tcW w:w="586" w:type="pct"/>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2031</w:t>
            </w:r>
          </w:p>
        </w:tc>
        <w:tc>
          <w:tcPr>
            <w:tcW w:w="587" w:type="pct"/>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2041</w:t>
            </w:r>
          </w:p>
        </w:tc>
        <w:tc>
          <w:tcPr>
            <w:tcW w:w="950" w:type="pct"/>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Динамика с 2021 по 2031 в%</w:t>
            </w:r>
          </w:p>
        </w:tc>
        <w:tc>
          <w:tcPr>
            <w:tcW w:w="950" w:type="pct"/>
            <w:tcBorders>
              <w:top w:val="single" w:sz="8" w:space="0" w:color="auto"/>
              <w:left w:val="nil"/>
              <w:bottom w:val="single" w:sz="8" w:space="0" w:color="auto"/>
              <w:right w:val="single" w:sz="8" w:space="0" w:color="auto"/>
            </w:tcBorders>
            <w:shd w:val="clear" w:color="auto" w:fill="auto"/>
            <w:noWrap/>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Динамика с 2021 по 2041 в%</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4010</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2956</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2090</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-26,3</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-47,9</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1813</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1321</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937</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-27,1</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-48,3</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Безопасном</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816</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625</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426</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-23,4</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-47,9</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326</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114</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-39,4</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-65,0</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763</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581</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427</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-23,9</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-44,0</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85</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78</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62</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-8,1</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-26,8</w:t>
            </w:r>
          </w:p>
        </w:tc>
      </w:tr>
      <w:tr w:rsidR="0042058C" w:rsidRPr="0042058C" w:rsidTr="0042058C">
        <w:trPr>
          <w:trHeight w:val="227"/>
        </w:trPr>
        <w:tc>
          <w:tcPr>
            <w:tcW w:w="1341" w:type="pct"/>
            <w:tcBorders>
              <w:top w:val="nil"/>
              <w:left w:val="single" w:sz="8" w:space="0" w:color="auto"/>
              <w:bottom w:val="single" w:sz="8" w:space="0" w:color="auto"/>
              <w:right w:val="single" w:sz="8"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207</w:t>
            </w:r>
          </w:p>
        </w:tc>
        <w:tc>
          <w:tcPr>
            <w:tcW w:w="586"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154</w:t>
            </w:r>
          </w:p>
        </w:tc>
        <w:tc>
          <w:tcPr>
            <w:tcW w:w="587"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123</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-25,7</w:t>
            </w:r>
          </w:p>
        </w:tc>
        <w:tc>
          <w:tcPr>
            <w:tcW w:w="950" w:type="pct"/>
            <w:tcBorders>
              <w:top w:val="nil"/>
              <w:left w:val="nil"/>
              <w:bottom w:val="single" w:sz="8" w:space="0" w:color="auto"/>
              <w:right w:val="single" w:sz="8" w:space="0" w:color="auto"/>
            </w:tcBorders>
            <w:shd w:val="clear" w:color="auto" w:fill="auto"/>
            <w:noWrap/>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-40,5</w:t>
            </w:r>
          </w:p>
        </w:tc>
      </w:tr>
    </w:tbl>
    <w:p w:rsidR="0042058C" w:rsidRPr="0042058C" w:rsidRDefault="0042058C" w:rsidP="0042058C">
      <w:pPr>
        <w:suppressAutoHyphens/>
        <w:spacing w:after="0"/>
        <w:ind w:firstLine="709"/>
        <w:jc w:val="both"/>
        <w:rPr>
          <w:rFonts w:ascii="Times New Roman" w:eastAsia="Times New Roman" w:hAnsi="Times New Roman" w:cs="Times New Roman"/>
          <w:sz w:val="24"/>
          <w:szCs w:val="24"/>
          <w:lang w:eastAsia="ar-SA"/>
        </w:rPr>
      </w:pP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Потребность в местах в школьных учреждениях в разрезе территориальных отделов Труновского муниципального округа отражена </w:t>
      </w:r>
      <w:r w:rsidR="005220F5">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в таблице.</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Расчет потребности населения Труновского муниципального округа </w:t>
      </w:r>
      <w:r w:rsidR="005220F5">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в школьных образовательных организациях на расчетный срок генерального плана до 2041 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00"/>
        <w:gridCol w:w="1262"/>
        <w:gridCol w:w="1290"/>
        <w:gridCol w:w="1233"/>
        <w:gridCol w:w="1261"/>
        <w:gridCol w:w="1261"/>
        <w:gridCol w:w="1261"/>
      </w:tblGrid>
      <w:tr w:rsidR="0042058C" w:rsidRPr="0042058C" w:rsidTr="0042058C">
        <w:trPr>
          <w:trHeight w:val="283"/>
        </w:trPr>
        <w:tc>
          <w:tcPr>
            <w:tcW w:w="1003" w:type="pct"/>
            <w:shd w:val="clear" w:color="auto" w:fill="auto"/>
            <w:vAlign w:val="center"/>
            <w:hideMark/>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bCs/>
                <w:color w:val="000000"/>
                <w:sz w:val="20"/>
                <w:szCs w:val="20"/>
              </w:rPr>
              <w:t>Территориальное управление</w:t>
            </w:r>
          </w:p>
        </w:tc>
        <w:tc>
          <w:tcPr>
            <w:tcW w:w="666" w:type="pct"/>
            <w:shd w:val="clear" w:color="auto" w:fill="auto"/>
            <w:vAlign w:val="center"/>
            <w:hideMark/>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Проектная мощность действующих объектов</w:t>
            </w:r>
          </w:p>
        </w:tc>
        <w:tc>
          <w:tcPr>
            <w:tcW w:w="681" w:type="pct"/>
            <w:shd w:val="clear" w:color="auto" w:fill="auto"/>
            <w:noWrap/>
            <w:vAlign w:val="center"/>
            <w:hideMark/>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Фактическое количество обучающихся</w:t>
            </w:r>
          </w:p>
        </w:tc>
        <w:tc>
          <w:tcPr>
            <w:tcW w:w="651" w:type="pct"/>
            <w:vAlign w:val="center"/>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w:t>
            </w:r>
          </w:p>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профицит (+) в 2021 г.</w:t>
            </w:r>
          </w:p>
        </w:tc>
        <w:tc>
          <w:tcPr>
            <w:tcW w:w="666" w:type="pct"/>
            <w:vAlign w:val="center"/>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Прогнозная численность детей (2041)</w:t>
            </w:r>
          </w:p>
        </w:tc>
        <w:tc>
          <w:tcPr>
            <w:tcW w:w="666" w:type="pct"/>
            <w:vAlign w:val="center"/>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Потребность мест к 2041 г. </w:t>
            </w:r>
          </w:p>
        </w:tc>
        <w:tc>
          <w:tcPr>
            <w:tcW w:w="666" w:type="pct"/>
            <w:shd w:val="clear" w:color="auto" w:fill="auto"/>
            <w:vAlign w:val="center"/>
            <w:hideMark/>
          </w:tcPr>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w:t>
            </w:r>
          </w:p>
          <w:p w:rsidR="0042058C" w:rsidRPr="0042058C" w:rsidRDefault="0042058C" w:rsidP="0042058C">
            <w:pPr>
              <w:spacing w:after="0" w:line="240" w:lineRule="auto"/>
              <w:contextualSpacing/>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профицит (+) в 2041 г.</w:t>
            </w:r>
          </w:p>
        </w:tc>
      </w:tr>
      <w:tr w:rsidR="0042058C" w:rsidRPr="0042058C" w:rsidTr="0042058C">
        <w:trPr>
          <w:trHeight w:val="283"/>
        </w:trPr>
        <w:tc>
          <w:tcPr>
            <w:tcW w:w="1003" w:type="pct"/>
            <w:shd w:val="clear" w:color="auto" w:fill="auto"/>
            <w:vAlign w:val="bottom"/>
            <w:hideMark/>
          </w:tcPr>
          <w:p w:rsidR="0042058C" w:rsidRPr="0042058C" w:rsidRDefault="0042058C" w:rsidP="0042058C">
            <w:pPr>
              <w:spacing w:after="0" w:line="240" w:lineRule="auto"/>
              <w:contextualSpacing/>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Всего</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4861</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3790</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1071</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2090</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971</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+3890</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 с. Донском</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1775</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1807</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-32</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937</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422</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+1353</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Безопасном</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1385</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914</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471</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426</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191</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+1194</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 п. им. Кирова</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550</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281</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269</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114</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51</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+499</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 с. Труновском</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1001</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711</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290</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427</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192</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+809</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 с. Новая Кугульта</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150</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77</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73</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62</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59</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+91</w:t>
            </w:r>
          </w:p>
        </w:tc>
      </w:tr>
      <w:tr w:rsidR="0042058C" w:rsidRPr="0042058C" w:rsidTr="0042058C">
        <w:trPr>
          <w:trHeight w:val="283"/>
        </w:trPr>
        <w:tc>
          <w:tcPr>
            <w:tcW w:w="1003" w:type="pct"/>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 с. Подлесном</w:t>
            </w:r>
          </w:p>
        </w:tc>
        <w:tc>
          <w:tcPr>
            <w:tcW w:w="666"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c>
          <w:tcPr>
            <w:tcW w:w="681" w:type="pct"/>
            <w:shd w:val="clear" w:color="auto" w:fill="auto"/>
            <w:noWrap/>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c>
          <w:tcPr>
            <w:tcW w:w="651"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123</w:t>
            </w:r>
          </w:p>
        </w:tc>
        <w:tc>
          <w:tcPr>
            <w:tcW w:w="666" w:type="pct"/>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56</w:t>
            </w:r>
          </w:p>
        </w:tc>
        <w:tc>
          <w:tcPr>
            <w:tcW w:w="666" w:type="pct"/>
            <w:shd w:val="clear" w:color="auto" w:fill="auto"/>
            <w:vAlign w:val="center"/>
          </w:tcPr>
          <w:p w:rsidR="0042058C" w:rsidRPr="0042058C" w:rsidRDefault="0042058C" w:rsidP="0042058C">
            <w:pPr>
              <w:spacing w:after="0" w:line="240" w:lineRule="auto"/>
              <w:contextualSpacing/>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-56</w:t>
            </w:r>
          </w:p>
        </w:tc>
      </w:tr>
    </w:tbl>
    <w:p w:rsidR="0042058C" w:rsidRPr="0042058C" w:rsidRDefault="0042058C" w:rsidP="0042058C">
      <w:pPr>
        <w:suppressAutoHyphens/>
        <w:spacing w:after="0"/>
        <w:ind w:firstLine="709"/>
        <w:jc w:val="both"/>
        <w:rPr>
          <w:rFonts w:ascii="Times New Roman" w:eastAsia="Times New Roman" w:hAnsi="Times New Roman" w:cs="Times New Roman"/>
          <w:sz w:val="24"/>
          <w:szCs w:val="24"/>
          <w:lang w:eastAsia="ar-SA"/>
        </w:rPr>
      </w:pP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Доступность общеобразовательных учреждений соответствует необходимой. Отсутствие общеобразовательных учреждений на территории села Подлесного объясняется слишком малой численностью детей школьного возраста в территориальном управлении. Мощности учреждений Труновского муниципального округа достаточно для обеспечения имеющегося количества обучающихся общим образованием к расчетному сроку генерального плана, однако учреждения нуждаются </w:t>
      </w:r>
      <w:r w:rsidR="005220F5">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в переоборудования для комфортного пребывания в них учеников, а также получения ими качественного образования.</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Развитие системы образования Труновского муниципального округа будет характеризоваться снижением численности учащихся.</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Для достижения комфортных условий обучения на первую очередь генерального плана планируется выполнение следующих мероприятий:</w:t>
      </w:r>
    </w:p>
    <w:p w:rsidR="0042058C" w:rsidRPr="0042058C" w:rsidRDefault="0042058C" w:rsidP="005220F5">
      <w:pPr>
        <w:tabs>
          <w:tab w:val="left" w:pos="993"/>
        </w:tabs>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создание учебно-делового центра развития малого предпринимательства в селе Донском;</w:t>
      </w:r>
    </w:p>
    <w:p w:rsidR="0042058C" w:rsidRPr="0042058C" w:rsidRDefault="0042058C" w:rsidP="005220F5">
      <w:pPr>
        <w:tabs>
          <w:tab w:val="left" w:pos="993"/>
        </w:tabs>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строительство дошкольного образовательного учреждения вместимостью 100 мест в селе Донском;</w:t>
      </w:r>
    </w:p>
    <w:p w:rsidR="0042058C" w:rsidRPr="0042058C" w:rsidRDefault="0042058C" w:rsidP="005220F5">
      <w:pPr>
        <w:tabs>
          <w:tab w:val="left" w:pos="0"/>
        </w:tabs>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реконструкция</w:t>
      </w:r>
      <w:r w:rsidRPr="0042058C">
        <w:rPr>
          <w:rFonts w:ascii="Times New Roman" w:eastAsia="Calibri" w:hAnsi="Times New Roman" w:cs="Times New Roman"/>
          <w:sz w:val="28"/>
          <w:szCs w:val="28"/>
        </w:rPr>
        <w:t xml:space="preserve"> </w:t>
      </w:r>
      <w:r w:rsidRPr="0042058C">
        <w:rPr>
          <w:rFonts w:ascii="Times New Roman" w:eastAsia="Times New Roman" w:hAnsi="Times New Roman" w:cs="Times New Roman"/>
          <w:sz w:val="28"/>
          <w:szCs w:val="28"/>
          <w:lang w:eastAsia="ar-SA"/>
        </w:rPr>
        <w:t>МКДОУ д/с №4 «Калинка» в с. Новая Кугульта.</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87" w:name="_Toc85173318"/>
      <w:r w:rsidRPr="0042058C">
        <w:rPr>
          <w:rFonts w:ascii="Times New Roman" w:eastAsia="Calibri" w:hAnsi="Times New Roman" w:cs="Times New Roman"/>
          <w:sz w:val="28"/>
          <w:szCs w:val="28"/>
        </w:rPr>
        <w:t>2</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Здравоохранение</w:t>
      </w:r>
      <w:bookmarkEnd w:id="87"/>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lang w:eastAsia="ar-SA"/>
        </w:rPr>
      </w:pPr>
      <w:r w:rsidRPr="0042058C">
        <w:rPr>
          <w:rFonts w:ascii="Times New Roman" w:eastAsia="Calibri" w:hAnsi="Times New Roman" w:cs="Times New Roman"/>
          <w:sz w:val="28"/>
          <w:szCs w:val="28"/>
          <w:lang w:eastAsia="ar-SA"/>
        </w:rPr>
        <w:t xml:space="preserve">Существующие учреждения здравоохранения муниципального округа решают проблему обеспечения населения медицинскими услугами. </w:t>
      </w:r>
      <w:r w:rsidR="005220F5">
        <w:rPr>
          <w:rFonts w:ascii="Times New Roman" w:eastAsia="Calibri" w:hAnsi="Times New Roman" w:cs="Times New Roman"/>
          <w:sz w:val="28"/>
          <w:szCs w:val="28"/>
          <w:lang w:eastAsia="ar-SA"/>
        </w:rPr>
        <w:t xml:space="preserve">                    </w:t>
      </w:r>
      <w:r w:rsidRPr="0042058C">
        <w:rPr>
          <w:rFonts w:ascii="Times New Roman" w:eastAsia="Calibri" w:hAnsi="Times New Roman" w:cs="Times New Roman"/>
          <w:sz w:val="28"/>
          <w:szCs w:val="28"/>
          <w:lang w:eastAsia="ar-SA"/>
        </w:rPr>
        <w:t>На развитие системы здравоохранения будут оказывать влияние ресурсный потенциал области, демографические, расселенческие, а также социокультурные факторы.</w:t>
      </w:r>
    </w:p>
    <w:p w:rsidR="0042058C" w:rsidRPr="0042058C" w:rsidRDefault="0042058C" w:rsidP="0042058C">
      <w:pPr>
        <w:spacing w:after="0"/>
        <w:ind w:firstLine="709"/>
        <w:jc w:val="both"/>
        <w:rPr>
          <w:rFonts w:ascii="Times New Roman" w:eastAsia="Calibri" w:hAnsi="Times New Roman" w:cs="Times New Roman"/>
          <w:sz w:val="28"/>
          <w:szCs w:val="28"/>
          <w:lang w:eastAsia="ar-SA"/>
        </w:rPr>
      </w:pPr>
      <w:r w:rsidRPr="0042058C">
        <w:rPr>
          <w:rFonts w:ascii="Times New Roman" w:eastAsia="Calibri" w:hAnsi="Times New Roman" w:cs="Times New Roman"/>
          <w:sz w:val="28"/>
          <w:szCs w:val="28"/>
          <w:lang w:eastAsia="ar-SA"/>
        </w:rPr>
        <w:t xml:space="preserve">В соответствии с положением об организации оказания первичной медико-санитарной помощи взрослому населению в части организации помощи жителям в населенных пунктах с числом жителей более 2 тыс. человек для оказания первичной врачебной медико-санитарной помощи должны быть организованы врачебные амбулатории. Если число жителей превышает 1 тыс. человек, но при этом не достигает 2 тыс. человек, </w:t>
      </w:r>
      <w:r w:rsidR="00C43664">
        <w:rPr>
          <w:rFonts w:ascii="Times New Roman" w:eastAsia="Calibri" w:hAnsi="Times New Roman" w:cs="Times New Roman"/>
          <w:sz w:val="28"/>
          <w:szCs w:val="28"/>
          <w:lang w:eastAsia="ar-SA"/>
        </w:rPr>
        <w:t xml:space="preserve">                  </w:t>
      </w:r>
      <w:r w:rsidRPr="0042058C">
        <w:rPr>
          <w:rFonts w:ascii="Times New Roman" w:eastAsia="Calibri" w:hAnsi="Times New Roman" w:cs="Times New Roman"/>
          <w:sz w:val="28"/>
          <w:szCs w:val="28"/>
          <w:lang w:eastAsia="ar-SA"/>
        </w:rPr>
        <w:t xml:space="preserve">в населенном пункте может быть организован фельдшерско-акушерский пункт, либо фельдшерский здравпункт (если расстояние до ближайшей медицинской организации не превышает 6 км) или центр общей врачебной практики/врачебная амбулатория (если расстояние от фельдшерско-акушерского пункта до ближайшей медицинской организации превышает </w:t>
      </w:r>
      <w:r w:rsidR="00C43664">
        <w:rPr>
          <w:rFonts w:ascii="Times New Roman" w:eastAsia="Calibri" w:hAnsi="Times New Roman" w:cs="Times New Roman"/>
          <w:sz w:val="28"/>
          <w:szCs w:val="28"/>
          <w:lang w:eastAsia="ar-SA"/>
        </w:rPr>
        <w:t xml:space="preserve">            </w:t>
      </w:r>
      <w:r w:rsidRPr="0042058C">
        <w:rPr>
          <w:rFonts w:ascii="Times New Roman" w:eastAsia="Calibri" w:hAnsi="Times New Roman" w:cs="Times New Roman"/>
          <w:sz w:val="28"/>
          <w:szCs w:val="28"/>
          <w:lang w:eastAsia="ar-SA"/>
        </w:rPr>
        <w:t xml:space="preserve">6 км). В случае преимущественного (более 40%) проживания населения старше трудоспособного возраста в населенном пункте с числом жителей более 100 человек, могут быть организованы как фельдшерско-акушерские пункты, так и фельдшерские здравпункты. В Труновском муниципальном округе имеется 8 фельдшерско-акушерских пунктов и 3 врачебные амбулатории. </w:t>
      </w:r>
    </w:p>
    <w:p w:rsidR="0042058C" w:rsidRPr="0042058C" w:rsidRDefault="0042058C" w:rsidP="0042058C">
      <w:pPr>
        <w:spacing w:after="0"/>
        <w:ind w:firstLine="709"/>
        <w:jc w:val="both"/>
        <w:rPr>
          <w:rFonts w:ascii="Times New Roman" w:eastAsia="Calibri" w:hAnsi="Times New Roman" w:cs="Times New Roman"/>
          <w:bCs/>
          <w:sz w:val="28"/>
          <w:szCs w:val="28"/>
          <w:lang w:eastAsia="ar-SA"/>
        </w:rPr>
      </w:pPr>
      <w:r w:rsidRPr="0042058C">
        <w:rPr>
          <w:rFonts w:ascii="Times New Roman" w:eastAsia="Calibri" w:hAnsi="Times New Roman" w:cs="Times New Roman"/>
          <w:sz w:val="28"/>
          <w:szCs w:val="28"/>
          <w:lang w:eastAsia="ar-SA"/>
        </w:rPr>
        <w:t>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r w:rsidRPr="0042058C">
        <w:rPr>
          <w:rFonts w:ascii="Times New Roman" w:eastAsia="Calibri" w:hAnsi="Times New Roman" w:cs="Times New Roman"/>
          <w:sz w:val="28"/>
          <w:szCs w:val="28"/>
          <w:vertAlign w:val="superscript"/>
          <w:lang w:eastAsia="ar-SA"/>
        </w:rPr>
        <w:footnoteReference w:id="89"/>
      </w:r>
    </w:p>
    <w:p w:rsidR="0042058C" w:rsidRPr="0042058C" w:rsidRDefault="0042058C" w:rsidP="0042058C">
      <w:pPr>
        <w:spacing w:after="0"/>
        <w:ind w:firstLine="709"/>
        <w:jc w:val="both"/>
        <w:rPr>
          <w:rFonts w:ascii="Times New Roman" w:eastAsia="Calibri" w:hAnsi="Times New Roman" w:cs="Times New Roman"/>
          <w:sz w:val="28"/>
          <w:szCs w:val="28"/>
          <w:lang w:eastAsia="ar-SA"/>
        </w:rPr>
      </w:pPr>
      <w:r w:rsidRPr="0042058C">
        <w:rPr>
          <w:rFonts w:ascii="Times New Roman" w:eastAsia="Calibri" w:hAnsi="Times New Roman" w:cs="Times New Roman"/>
          <w:sz w:val="28"/>
          <w:szCs w:val="28"/>
          <w:lang w:eastAsia="ar-SA"/>
        </w:rPr>
        <w:t>Требованиями также рекомендовано нормативное количество размещаемых медицинских учреждений в зависимости от количества населения (таблица). На основе нормативных рекомендаций можно определить необходимое количество медицинских учреждений для размещения на территории Труновского муниципального округа.</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7</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Нормативное размещение медицинских организаций на территории Труновского муниципального округа к расчетному сроку генерального плана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496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21"/>
        <w:gridCol w:w="1415"/>
        <w:gridCol w:w="1276"/>
        <w:gridCol w:w="1133"/>
        <w:gridCol w:w="1419"/>
        <w:gridCol w:w="1413"/>
        <w:gridCol w:w="1332"/>
      </w:tblGrid>
      <w:tr w:rsidR="0042058C" w:rsidRPr="0042058C" w:rsidTr="0042058C">
        <w:trPr>
          <w:trHeight w:val="274"/>
        </w:trPr>
        <w:tc>
          <w:tcPr>
            <w:tcW w:w="755" w:type="pct"/>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Условия оказания медицинской помощи</w:t>
            </w: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Вид медицинской организации</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Вид медицинской помощи</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Форма оказания медицинской помощи</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Потребность учреждений в зависимости от количества обслуживаемого населения</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Нормативная потребность учреждений в Труновском МО к 2041 году, единиц</w:t>
            </w:r>
          </w:p>
        </w:tc>
        <w:tc>
          <w:tcPr>
            <w:tcW w:w="708" w:type="pct"/>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Количество действующих учреждений, 2021 г.</w:t>
            </w:r>
          </w:p>
        </w:tc>
      </w:tr>
      <w:tr w:rsidR="0042058C" w:rsidRPr="0042058C" w:rsidTr="0042058C">
        <w:trPr>
          <w:trHeight w:val="315"/>
        </w:trPr>
        <w:tc>
          <w:tcPr>
            <w:tcW w:w="755"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Вне медицинской организации</w:t>
            </w: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станция скорой медицинской помощи</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скорая, в том числе скорая специализированная, медицинская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экстренная,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1 свыше 50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0</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1 отделение с филиалами в селах Труновском и Безопасном</w:t>
            </w:r>
          </w:p>
        </w:tc>
      </w:tr>
      <w:tr w:rsidR="0042058C" w:rsidRPr="0042058C" w:rsidTr="0042058C">
        <w:trPr>
          <w:trHeight w:val="315"/>
        </w:trPr>
        <w:tc>
          <w:tcPr>
            <w:tcW w:w="755"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амбулаторных условиях, в условиях дневного стационара</w:t>
            </w: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амбулатория, в том числе врачебная, или центр (отделение) общей врачебной практики (семейной медицины)</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первичная врачебная медико-санитарная помощь,</w:t>
            </w:r>
            <w:r w:rsidRPr="0042058C">
              <w:rPr>
                <w:rFonts w:ascii="Times New Roman" w:eastAsia="Calibri" w:hAnsi="Times New Roman" w:cs="Times New Roman"/>
                <w:sz w:val="20"/>
                <w:szCs w:val="20"/>
                <w:shd w:val="clear" w:color="auto" w:fill="FFFFFF"/>
              </w:rPr>
              <w:br/>
              <w:t>первичная специализированная медико-санитарная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1 на 2-10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 1 в территориальных управлениях в селах Безопасном и Труновском</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 1 в территориальных управлениях в селах Труновском, Подлесном и п. им. Кирова</w:t>
            </w:r>
          </w:p>
        </w:tc>
      </w:tr>
      <w:tr w:rsidR="0042058C" w:rsidRPr="0042058C" w:rsidTr="0042058C">
        <w:trPr>
          <w:trHeight w:val="315"/>
        </w:trPr>
        <w:tc>
          <w:tcPr>
            <w:tcW w:w="755" w:type="pct"/>
            <w:vMerge/>
            <w:shd w:val="clear" w:color="auto" w:fill="auto"/>
            <w:vAlign w:val="bottom"/>
          </w:tcPr>
          <w:p w:rsidR="0042058C" w:rsidRPr="0042058C" w:rsidRDefault="0042058C" w:rsidP="0042058C">
            <w:pPr>
              <w:spacing w:after="0" w:line="240" w:lineRule="auto"/>
              <w:rPr>
                <w:rFonts w:ascii="Times New Roman" w:eastAsia="Calibri" w:hAnsi="Times New Roman" w:cs="Times New Roman"/>
                <w:sz w:val="20"/>
                <w:szCs w:val="20"/>
              </w:rPr>
            </w:pP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поликлиника</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первичная врачебная медико-санитарная помощь,</w:t>
            </w:r>
            <w:r w:rsidRPr="0042058C">
              <w:rPr>
                <w:rFonts w:ascii="Times New Roman" w:eastAsia="Calibri" w:hAnsi="Times New Roman" w:cs="Times New Roman"/>
                <w:sz w:val="20"/>
                <w:szCs w:val="20"/>
                <w:shd w:val="clear" w:color="auto" w:fill="FFFFFF"/>
              </w:rPr>
              <w:br/>
              <w:t>первичная специализированная медико-санитарная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1 на 20-50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315"/>
        </w:trPr>
        <w:tc>
          <w:tcPr>
            <w:tcW w:w="755" w:type="pct"/>
            <w:vMerge/>
            <w:shd w:val="clear" w:color="auto" w:fill="auto"/>
            <w:vAlign w:val="bottom"/>
          </w:tcPr>
          <w:p w:rsidR="0042058C" w:rsidRPr="0042058C" w:rsidRDefault="0042058C" w:rsidP="0042058C">
            <w:pPr>
              <w:spacing w:after="0" w:line="240" w:lineRule="auto"/>
              <w:rPr>
                <w:rFonts w:ascii="Times New Roman" w:eastAsia="Calibri" w:hAnsi="Times New Roman" w:cs="Times New Roman"/>
                <w:sz w:val="20"/>
                <w:szCs w:val="20"/>
              </w:rPr>
            </w:pP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детская поликлиника</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первичная врачебная медико-санитарная помощь,</w:t>
            </w:r>
            <w:r w:rsidRPr="0042058C">
              <w:rPr>
                <w:rFonts w:ascii="Times New Roman" w:eastAsia="Calibri" w:hAnsi="Times New Roman" w:cs="Times New Roman"/>
                <w:sz w:val="20"/>
                <w:szCs w:val="20"/>
                <w:shd w:val="clear" w:color="auto" w:fill="FFFFFF"/>
              </w:rPr>
              <w:br/>
              <w:t>первичная специализированная медико-санитарная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1 на 10-30 тыс. детей</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отделение в ГБУЗ СК «Труновская районная больница»</w:t>
            </w:r>
          </w:p>
        </w:tc>
      </w:tr>
      <w:tr w:rsidR="0042058C" w:rsidRPr="0042058C" w:rsidTr="0042058C">
        <w:trPr>
          <w:trHeight w:val="330"/>
        </w:trPr>
        <w:tc>
          <w:tcPr>
            <w:tcW w:w="755" w:type="pct"/>
            <w:vMerge/>
            <w:shd w:val="clear" w:color="auto" w:fill="auto"/>
            <w:vAlign w:val="bottom"/>
          </w:tcPr>
          <w:p w:rsidR="0042058C" w:rsidRPr="0042058C" w:rsidRDefault="0042058C" w:rsidP="0042058C">
            <w:pPr>
              <w:spacing w:after="0" w:line="240" w:lineRule="auto"/>
              <w:rPr>
                <w:rFonts w:ascii="Times New Roman" w:eastAsia="Calibri" w:hAnsi="Times New Roman" w:cs="Times New Roman"/>
                <w:sz w:val="20"/>
                <w:szCs w:val="20"/>
              </w:rPr>
            </w:pP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поликлиника стоматологическая</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первичная доврачебная медико-санитарная помощь,</w:t>
            </w:r>
            <w:r w:rsidRPr="0042058C">
              <w:rPr>
                <w:rFonts w:ascii="Times New Roman" w:eastAsia="Calibri" w:hAnsi="Times New Roman" w:cs="Times New Roman"/>
                <w:sz w:val="20"/>
                <w:szCs w:val="20"/>
                <w:shd w:val="clear" w:color="auto" w:fill="FFFFFF"/>
              </w:rPr>
              <w:br/>
              <w:t>первичная специализированная медико-санитарная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не менее 1 до 100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отделение в ГБУЗ СК «Труновская районная больница»</w:t>
            </w:r>
          </w:p>
        </w:tc>
      </w:tr>
      <w:tr w:rsidR="0042058C" w:rsidRPr="0042058C" w:rsidTr="0042058C">
        <w:trPr>
          <w:trHeight w:val="330"/>
        </w:trPr>
        <w:tc>
          <w:tcPr>
            <w:tcW w:w="755" w:type="pct"/>
            <w:vMerge/>
            <w:shd w:val="clear" w:color="auto" w:fill="auto"/>
            <w:vAlign w:val="bottom"/>
          </w:tcPr>
          <w:p w:rsidR="0042058C" w:rsidRPr="0042058C" w:rsidRDefault="0042058C" w:rsidP="0042058C">
            <w:pPr>
              <w:spacing w:after="0" w:line="240" w:lineRule="auto"/>
              <w:rPr>
                <w:rFonts w:ascii="Times New Roman" w:eastAsia="Calibri" w:hAnsi="Times New Roman" w:cs="Times New Roman"/>
                <w:sz w:val="20"/>
                <w:szCs w:val="20"/>
              </w:rPr>
            </w:pP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детская стоматологическая поликлиника</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первичная доврачебная медико-санитарная помощь,</w:t>
            </w:r>
            <w:r w:rsidRPr="0042058C">
              <w:rPr>
                <w:rFonts w:ascii="Times New Roman" w:eastAsia="Calibri" w:hAnsi="Times New Roman" w:cs="Times New Roman"/>
                <w:sz w:val="20"/>
                <w:szCs w:val="20"/>
                <w:shd w:val="clear" w:color="auto" w:fill="FFFFFF"/>
              </w:rPr>
              <w:br/>
              <w:t>первичная специализированная медико-санитарная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 на 20-50 тыс. детей</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отделение в ГБУЗ СК «Труновская районная больница»</w:t>
            </w:r>
          </w:p>
        </w:tc>
      </w:tr>
      <w:tr w:rsidR="0042058C" w:rsidRPr="0042058C" w:rsidTr="0042058C">
        <w:trPr>
          <w:trHeight w:val="330"/>
        </w:trPr>
        <w:tc>
          <w:tcPr>
            <w:tcW w:w="755" w:type="pct"/>
            <w:vMerge w:val="restar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стационарных условиях, в условиях дневного стационара</w:t>
            </w: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участковая больница</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первичная специализированная медико-санитарная помощь,</w:t>
            </w:r>
            <w:r w:rsidRPr="0042058C">
              <w:rPr>
                <w:rFonts w:ascii="Times New Roman" w:eastAsia="Calibri" w:hAnsi="Times New Roman" w:cs="Times New Roman"/>
                <w:sz w:val="20"/>
                <w:szCs w:val="20"/>
                <w:shd w:val="clear" w:color="auto" w:fill="FFFFFF"/>
              </w:rPr>
              <w:br/>
              <w:t>специализированная медицинская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 на 5-20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 в территориальном управлении села Безопасного</w:t>
            </w:r>
          </w:p>
        </w:tc>
      </w:tr>
      <w:tr w:rsidR="0042058C" w:rsidRPr="0042058C" w:rsidTr="0042058C">
        <w:trPr>
          <w:trHeight w:val="330"/>
        </w:trPr>
        <w:tc>
          <w:tcPr>
            <w:tcW w:w="755" w:type="pct"/>
            <w:vMerge/>
            <w:shd w:val="clear" w:color="auto" w:fill="auto"/>
            <w:vAlign w:val="bottom"/>
          </w:tcPr>
          <w:p w:rsidR="0042058C" w:rsidRPr="0042058C" w:rsidRDefault="0042058C" w:rsidP="0042058C">
            <w:pPr>
              <w:spacing w:after="0" w:line="240" w:lineRule="auto"/>
              <w:rPr>
                <w:rFonts w:ascii="Times New Roman" w:eastAsia="Calibri" w:hAnsi="Times New Roman" w:cs="Times New Roman"/>
                <w:sz w:val="20"/>
                <w:szCs w:val="20"/>
              </w:rPr>
            </w:pPr>
          </w:p>
        </w:tc>
        <w:tc>
          <w:tcPr>
            <w:tcW w:w="75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районная больница</w:t>
            </w:r>
          </w:p>
        </w:tc>
        <w:tc>
          <w:tcPr>
            <w:tcW w:w="67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специализированная медицинская помощь</w:t>
            </w:r>
          </w:p>
        </w:tc>
        <w:tc>
          <w:tcPr>
            <w:tcW w:w="602"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shd w:val="clear" w:color="auto" w:fill="FFFFFF"/>
              </w:rPr>
            </w:pPr>
            <w:r w:rsidRPr="0042058C">
              <w:rPr>
                <w:rFonts w:ascii="Times New Roman" w:eastAsia="Calibri" w:hAnsi="Times New Roman" w:cs="Times New Roman"/>
                <w:sz w:val="20"/>
                <w:szCs w:val="20"/>
                <w:shd w:val="clear" w:color="auto" w:fill="FFFFFF"/>
              </w:rPr>
              <w:t>плановая,</w:t>
            </w:r>
            <w:r w:rsidRPr="0042058C">
              <w:rPr>
                <w:rFonts w:ascii="Times New Roman" w:eastAsia="Calibri" w:hAnsi="Times New Roman" w:cs="Times New Roman"/>
                <w:sz w:val="20"/>
                <w:szCs w:val="20"/>
                <w:shd w:val="clear" w:color="auto" w:fill="FFFFFF"/>
              </w:rPr>
              <w:br/>
              <w:t>неотложная,</w:t>
            </w:r>
            <w:r w:rsidRPr="0042058C">
              <w:rPr>
                <w:rFonts w:ascii="Times New Roman" w:eastAsia="Calibri" w:hAnsi="Times New Roman" w:cs="Times New Roman"/>
                <w:sz w:val="20"/>
                <w:szCs w:val="20"/>
                <w:shd w:val="clear" w:color="auto" w:fill="FFFFFF"/>
              </w:rPr>
              <w:br/>
              <w:t>экстренная</w:t>
            </w:r>
          </w:p>
        </w:tc>
        <w:tc>
          <w:tcPr>
            <w:tcW w:w="754"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 на 20-100 тыс. человек</w:t>
            </w:r>
          </w:p>
        </w:tc>
        <w:tc>
          <w:tcPr>
            <w:tcW w:w="751"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708" w:type="pct"/>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bl>
    <w:p w:rsidR="0042058C" w:rsidRPr="0042058C" w:rsidRDefault="0042058C" w:rsidP="0042058C">
      <w:pPr>
        <w:spacing w:after="0"/>
        <w:jc w:val="both"/>
        <w:rPr>
          <w:rFonts w:ascii="Times New Roman" w:eastAsia="Calibri" w:hAnsi="Times New Roman" w:cs="Times New Roman"/>
          <w:sz w:val="24"/>
          <w:szCs w:val="24"/>
          <w:lang w:eastAsia="ar-SA"/>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Труновский муниципальный округ располагает необходимыми медицинскими учреждениями для оказания помощи населению. Однако нерешенной остается проблема нехватки койко-мест в ГБУЗ СК «Труновская районная больница».</w:t>
      </w:r>
    </w:p>
    <w:p w:rsidR="0042058C" w:rsidRPr="0042058C" w:rsidRDefault="0042058C" w:rsidP="0042058C">
      <w:pPr>
        <w:autoSpaceDE w:val="0"/>
        <w:autoSpaceDN w:val="0"/>
        <w:adjustRightInd w:val="0"/>
        <w:spacing w:after="0" w:line="240" w:lineRule="auto"/>
        <w:ind w:firstLine="708"/>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расчетный срок генерального плана Труновского муниципального округа не запланированы мероприятия в сфере здравоохранения. Численность населения округа будет снижаться, однако учитывая факт обеспеченности коечным фондом в округе почти в два раза ниже краевого показателя, рекомендуется его расширение в целях обеспечения населения необходимыми ресурсами для получения медицинской помощи.</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88" w:name="_Toc85173319"/>
      <w:r w:rsidRPr="0042058C">
        <w:rPr>
          <w:rFonts w:ascii="Times New Roman" w:eastAsia="Calibri" w:hAnsi="Times New Roman" w:cs="Times New Roman"/>
          <w:sz w:val="28"/>
          <w:szCs w:val="28"/>
        </w:rPr>
        <w:t>3</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Культура</w:t>
      </w:r>
      <w:bookmarkEnd w:id="88"/>
      <w:r w:rsidRPr="0042058C">
        <w:rPr>
          <w:rFonts w:ascii="Times New Roman" w:eastAsia="Calibri" w:hAnsi="Times New Roman" w:cs="Times New Roman"/>
          <w:sz w:val="28"/>
          <w:szCs w:val="28"/>
        </w:rPr>
        <w:t>.</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Потребность мест в учреждениях культуры в данной работе рассчитана по среднему варианту прогноза численности населения и в соответствии </w:t>
      </w:r>
      <w:r w:rsidR="00C43664">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 xml:space="preserve">с «Методическими рекомендациями субъектам Российской Федерации </w:t>
      </w:r>
      <w:r w:rsidR="00C43664">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и органам местного самоуправления по развитию сети организаций культуры и обеспеченности населения услугами организаций культуры».</w:t>
      </w:r>
    </w:p>
    <w:p w:rsidR="0042058C" w:rsidRPr="0042058C" w:rsidRDefault="0042058C" w:rsidP="0042058C">
      <w:pPr>
        <w:keepNext/>
        <w:spacing w:after="0"/>
        <w:ind w:firstLine="709"/>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9</w:t>
      </w:r>
      <w:r w:rsidR="00E86957">
        <w:rPr>
          <w:rFonts w:ascii="Times New Roman" w:eastAsia="Calibri" w:hAnsi="Times New Roman" w:cs="Times New Roman"/>
          <w:bCs/>
          <w:sz w:val="28"/>
          <w:szCs w:val="28"/>
        </w:rPr>
        <w:t>8</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Фактические и нормативные показатели культурной сферы Труновского муниципального округа, 2021, 2041 гг.</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48"/>
        <w:gridCol w:w="1988"/>
        <w:gridCol w:w="1460"/>
        <w:gridCol w:w="1437"/>
        <w:gridCol w:w="1193"/>
        <w:gridCol w:w="1242"/>
      </w:tblGrid>
      <w:tr w:rsidR="0042058C" w:rsidRPr="0042058C" w:rsidTr="0042058C">
        <w:trPr>
          <w:trHeight w:val="227"/>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w:t>
            </w:r>
          </w:p>
        </w:tc>
        <w:tc>
          <w:tcPr>
            <w:tcW w:w="10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Норматив</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Кол-во действующих объектов, ед.</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2041</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 (-), профицит (+) на 2041 год</w:t>
            </w:r>
          </w:p>
        </w:tc>
      </w:tr>
      <w:tr w:rsidR="0042058C" w:rsidRPr="0042058C" w:rsidTr="0042058C">
        <w:trPr>
          <w:trHeight w:val="227"/>
        </w:trPr>
        <w:tc>
          <w:tcPr>
            <w:tcW w:w="11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Потребность,</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чел.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Прогноз, тыс. чел.</w:t>
            </w:r>
          </w:p>
        </w:tc>
        <w:tc>
          <w:tcPr>
            <w:tcW w:w="6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227"/>
        </w:trPr>
        <w:tc>
          <w:tcPr>
            <w:tcW w:w="11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29,8</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23,1</w:t>
            </w:r>
          </w:p>
        </w:tc>
        <w:tc>
          <w:tcPr>
            <w:tcW w:w="6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22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Концертный зал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 независимо от количества населения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22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Музейные учреждения</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 независимо от количества населения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227"/>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Общедоступная библиотека </w:t>
            </w:r>
          </w:p>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p>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Детская библиотека</w:t>
            </w:r>
          </w:p>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 на 25 тыс. чел.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w:t>
            </w:r>
          </w:p>
        </w:tc>
      </w:tr>
      <w:tr w:rsidR="0042058C" w:rsidRPr="0042058C" w:rsidTr="0042058C">
        <w:trPr>
          <w:trHeight w:val="227"/>
        </w:trPr>
        <w:tc>
          <w:tcPr>
            <w:tcW w:w="11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 на 15 тыс. детей до 14 лет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22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Культурно-досуговые учреждения</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tabs>
                <w:tab w:val="left" w:pos="900"/>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 на 20 тыс. чел.</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w:t>
            </w:r>
          </w:p>
        </w:tc>
      </w:tr>
    </w:tbl>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4"/>
          <w:szCs w:val="24"/>
        </w:rPr>
      </w:pP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 xml:space="preserve">Сеть культурно-просветительных учреждений округа развита </w:t>
      </w:r>
      <w:r w:rsidR="00C43664">
        <w:rPr>
          <w:rFonts w:ascii="Times New Roman" w:eastAsia="Times New Roman" w:hAnsi="Times New Roman" w:cs="Times New Roman"/>
          <w:sz w:val="28"/>
          <w:szCs w:val="28"/>
        </w:rPr>
        <w:t xml:space="preserve">                     </w:t>
      </w:r>
      <w:r w:rsidRPr="0042058C">
        <w:rPr>
          <w:rFonts w:ascii="Times New Roman" w:eastAsia="Times New Roman" w:hAnsi="Times New Roman" w:cs="Times New Roman"/>
          <w:sz w:val="28"/>
          <w:szCs w:val="28"/>
        </w:rPr>
        <w:t>в достаточной степени. Во всех крупных населенных пунктах действуют библиотеки и сельские дома культуры.</w:t>
      </w:r>
    </w:p>
    <w:p w:rsidR="0042058C" w:rsidRPr="0042058C" w:rsidRDefault="0042058C" w:rsidP="0042058C">
      <w:pPr>
        <w:widowControl w:val="0"/>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 xml:space="preserve">В целях развития отрасли культуры в муниципальном округе </w:t>
      </w:r>
      <w:r w:rsidR="00C43664">
        <w:rPr>
          <w:rFonts w:ascii="Times New Roman" w:eastAsia="Times New Roman" w:hAnsi="Times New Roman" w:cs="Times New Roman"/>
          <w:sz w:val="28"/>
          <w:szCs w:val="28"/>
        </w:rPr>
        <w:t xml:space="preserve">                      </w:t>
      </w:r>
      <w:r w:rsidRPr="0042058C">
        <w:rPr>
          <w:rFonts w:ascii="Times New Roman" w:eastAsia="Times New Roman" w:hAnsi="Times New Roman" w:cs="Times New Roman"/>
          <w:sz w:val="28"/>
          <w:szCs w:val="28"/>
        </w:rPr>
        <w:t>на первую очередь генерального плана запланированы следующие мероприятия:</w:t>
      </w:r>
    </w:p>
    <w:p w:rsidR="0042058C" w:rsidRPr="0042058C" w:rsidRDefault="0042058C" w:rsidP="0042058C">
      <w:pPr>
        <w:tabs>
          <w:tab w:val="left" w:pos="993"/>
        </w:tabs>
        <w:spacing w:after="0"/>
        <w:ind w:left="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реконструкция Дома культуры в с. Донском;</w:t>
      </w:r>
    </w:p>
    <w:p w:rsidR="0042058C" w:rsidRPr="0042058C" w:rsidRDefault="0042058C" w:rsidP="0042058C">
      <w:pPr>
        <w:tabs>
          <w:tab w:val="left" w:pos="993"/>
        </w:tabs>
        <w:spacing w:after="0"/>
        <w:ind w:left="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создание Центра</w:t>
      </w:r>
      <w:r w:rsidRPr="0042058C">
        <w:rPr>
          <w:rFonts w:ascii="Times New Roman" w:eastAsia="Calibri" w:hAnsi="Times New Roman" w:cs="Times New Roman"/>
          <w:sz w:val="28"/>
          <w:szCs w:val="28"/>
        </w:rPr>
        <w:t xml:space="preserve"> </w:t>
      </w:r>
      <w:r w:rsidRPr="0042058C">
        <w:rPr>
          <w:rFonts w:ascii="Times New Roman" w:eastAsia="Times New Roman" w:hAnsi="Times New Roman" w:cs="Times New Roman"/>
          <w:sz w:val="28"/>
          <w:szCs w:val="28"/>
        </w:rPr>
        <w:t>привлечения талантливой молодежи в с. Донском;</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строительство Клуба участка № 4 СХП ТОО им. М. Горького                         в с. Безопасном;</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строительство Клуба участка № 4 СПК «Колхоз им. Ворошилова»                      в с. Безопасном;</w:t>
      </w:r>
    </w:p>
    <w:p w:rsidR="0042058C" w:rsidRPr="0042058C" w:rsidRDefault="0042058C" w:rsidP="0042058C">
      <w:pPr>
        <w:tabs>
          <w:tab w:val="left" w:pos="993"/>
        </w:tabs>
        <w:spacing w:after="0"/>
        <w:ind w:left="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строительство Клуба в х. Эммануэлевском;</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строительство новых помещений сельского Дома культуры                            в п. им. Кирова.</w:t>
      </w:r>
    </w:p>
    <w:p w:rsidR="0042058C" w:rsidRPr="0042058C" w:rsidRDefault="0042058C" w:rsidP="0042058C">
      <w:pPr>
        <w:spacing w:after="0"/>
        <w:ind w:left="567"/>
        <w:jc w:val="both"/>
        <w:outlineLvl w:val="2"/>
        <w:rPr>
          <w:rFonts w:ascii="Times New Roman" w:eastAsia="Calibri" w:hAnsi="Times New Roman" w:cs="Times New Roman"/>
          <w:sz w:val="28"/>
          <w:szCs w:val="28"/>
        </w:rPr>
      </w:pPr>
      <w:bookmarkStart w:id="89" w:name="_Toc85173320"/>
      <w:r w:rsidRPr="0042058C">
        <w:rPr>
          <w:rFonts w:ascii="Times New Roman" w:eastAsia="Calibri" w:hAnsi="Times New Roman" w:cs="Times New Roman"/>
          <w:sz w:val="28"/>
          <w:szCs w:val="28"/>
        </w:rPr>
        <w:t>4</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Физическая культура и спорт</w:t>
      </w:r>
      <w:bookmarkEnd w:id="89"/>
      <w:r w:rsidRPr="0042058C">
        <w:rPr>
          <w:rFonts w:ascii="Times New Roman" w:eastAsia="Calibri" w:hAnsi="Times New Roman" w:cs="Times New Roman"/>
          <w:sz w:val="28"/>
          <w:szCs w:val="28"/>
        </w:rPr>
        <w:t>.</w:t>
      </w:r>
    </w:p>
    <w:p w:rsidR="0042058C" w:rsidRPr="0042058C" w:rsidRDefault="0042058C" w:rsidP="0042058C">
      <w:pPr>
        <w:widowControl w:val="0"/>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Для оказания качественных услуг населению в сфере спорта существующая спортивная инфраструктура Труновского муниципального округа нуждается в капитальном ремонте и строительстве новых объектов, отвечающих современным требованиям.</w:t>
      </w:r>
    </w:p>
    <w:p w:rsidR="0042058C" w:rsidRPr="0042058C" w:rsidRDefault="0042058C" w:rsidP="0042058C">
      <w:pPr>
        <w:widowControl w:val="0"/>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Необходимо сосредоточить новое строительство спортивных</w:t>
      </w:r>
      <w:r w:rsidRPr="0042058C">
        <w:rPr>
          <w:rFonts w:ascii="Times New Roman" w:eastAsia="Times New Roman" w:hAnsi="Times New Roman" w:cs="Times New Roman"/>
          <w:sz w:val="24"/>
          <w:szCs w:val="24"/>
        </w:rPr>
        <w:t xml:space="preserve"> </w:t>
      </w:r>
      <w:r w:rsidRPr="0042058C">
        <w:rPr>
          <w:rFonts w:ascii="Times New Roman" w:eastAsia="Times New Roman" w:hAnsi="Times New Roman" w:cs="Times New Roman"/>
          <w:sz w:val="28"/>
          <w:szCs w:val="28"/>
        </w:rPr>
        <w:t>объектов, опираясь на нормативы минимальной обеспеченности населения ими.</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E86957">
        <w:rPr>
          <w:rFonts w:ascii="Times New Roman" w:eastAsia="Calibri" w:hAnsi="Times New Roman" w:cs="Times New Roman"/>
          <w:bCs/>
          <w:noProof/>
          <w:sz w:val="28"/>
          <w:szCs w:val="28"/>
        </w:rPr>
        <w:t>99</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Нормативы минимальной обеспеченности населения Труновского муниципального округа объектами физической культуры и спорта и максимально допустимый уровень их территориальной доступности для населения</w:t>
      </w:r>
      <w:r w:rsidRPr="0042058C">
        <w:rPr>
          <w:rFonts w:ascii="Times New Roman" w:eastAsia="Calibri" w:hAnsi="Times New Roman" w:cs="Times New Roman"/>
          <w:bCs/>
          <w:sz w:val="28"/>
          <w:szCs w:val="28"/>
          <w:vertAlign w:val="superscript"/>
        </w:rPr>
        <w:footnoteReference w:id="90"/>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218"/>
        <w:gridCol w:w="1865"/>
        <w:gridCol w:w="1897"/>
        <w:gridCol w:w="1905"/>
      </w:tblGrid>
      <w:tr w:rsidR="0042058C" w:rsidRPr="0042058C" w:rsidTr="0042058C">
        <w:tc>
          <w:tcPr>
            <w:tcW w:w="27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п/п</w:t>
            </w:r>
          </w:p>
        </w:tc>
        <w:tc>
          <w:tcPr>
            <w:tcW w:w="17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объекта</w:t>
            </w:r>
          </w:p>
        </w:tc>
        <w:tc>
          <w:tcPr>
            <w:tcW w:w="99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 изм.</w:t>
            </w:r>
          </w:p>
        </w:tc>
        <w:tc>
          <w:tcPr>
            <w:tcW w:w="100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Минимальный уровень обеспеченности</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Максимальный уровень территориальной доступности</w:t>
            </w:r>
          </w:p>
        </w:tc>
      </w:tr>
      <w:tr w:rsidR="0042058C" w:rsidRPr="0042058C" w:rsidTr="0042058C">
        <w:tc>
          <w:tcPr>
            <w:tcW w:w="27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7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Физкультурно-спортивные сооружения общего пользования*</w:t>
            </w:r>
          </w:p>
        </w:tc>
        <w:tc>
          <w:tcPr>
            <w:tcW w:w="99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 на 1 тыс. человек</w:t>
            </w:r>
          </w:p>
        </w:tc>
        <w:tc>
          <w:tcPr>
            <w:tcW w:w="100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 – 0,9</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 м</w:t>
            </w:r>
          </w:p>
        </w:tc>
      </w:tr>
      <w:tr w:rsidR="0042058C" w:rsidRPr="0042058C" w:rsidTr="0042058C">
        <w:tc>
          <w:tcPr>
            <w:tcW w:w="27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17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Спортивные залы общего пользования</w:t>
            </w:r>
          </w:p>
        </w:tc>
        <w:tc>
          <w:tcPr>
            <w:tcW w:w="99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 xml:space="preserve"> площади пола на 1 тыс. человек</w:t>
            </w:r>
          </w:p>
        </w:tc>
        <w:tc>
          <w:tcPr>
            <w:tcW w:w="100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150-200 </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 м</w:t>
            </w:r>
          </w:p>
        </w:tc>
      </w:tr>
      <w:tr w:rsidR="0042058C" w:rsidRPr="0042058C" w:rsidTr="0042058C">
        <w:tc>
          <w:tcPr>
            <w:tcW w:w="27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7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Бассейны крытые и открытые общего пользования**</w:t>
            </w:r>
          </w:p>
        </w:tc>
        <w:tc>
          <w:tcPr>
            <w:tcW w:w="99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 xml:space="preserve"> зеркала воды на 1 тыс. человек</w:t>
            </w:r>
          </w:p>
        </w:tc>
        <w:tc>
          <w:tcPr>
            <w:tcW w:w="100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20 – 25 </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 м</w:t>
            </w:r>
          </w:p>
        </w:tc>
      </w:tr>
      <w:tr w:rsidR="0042058C" w:rsidRPr="0042058C" w:rsidTr="0042058C">
        <w:tc>
          <w:tcPr>
            <w:tcW w:w="27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c>
          <w:tcPr>
            <w:tcW w:w="17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Физкультурно-оздоровительные площадки (комплексы)</w:t>
            </w:r>
          </w:p>
        </w:tc>
        <w:tc>
          <w:tcPr>
            <w:tcW w:w="99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100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500 м</w:t>
            </w:r>
          </w:p>
        </w:tc>
      </w:tr>
    </w:tbl>
    <w:p w:rsidR="0042058C" w:rsidRPr="0042058C" w:rsidRDefault="0042058C" w:rsidP="0042058C">
      <w:pPr>
        <w:spacing w:after="0" w:line="240" w:lineRule="auto"/>
        <w:jc w:val="both"/>
        <w:rPr>
          <w:rFonts w:ascii="Times New Roman" w:eastAsia="Calibri" w:hAnsi="Times New Roman" w:cs="Times New Roman"/>
          <w:sz w:val="18"/>
          <w:szCs w:val="18"/>
        </w:rPr>
      </w:pPr>
      <w:r w:rsidRPr="0042058C">
        <w:rPr>
          <w:rFonts w:ascii="Times New Roman" w:eastAsia="Calibri" w:hAnsi="Times New Roman" w:cs="Times New Roman"/>
          <w:sz w:val="18"/>
          <w:szCs w:val="18"/>
        </w:rPr>
        <w:t>* –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rsidR="0042058C" w:rsidRPr="0042058C" w:rsidRDefault="0042058C" w:rsidP="0042058C">
      <w:pPr>
        <w:spacing w:after="0" w:line="240" w:lineRule="auto"/>
        <w:jc w:val="both"/>
        <w:rPr>
          <w:rFonts w:ascii="Times New Roman" w:eastAsia="Calibri" w:hAnsi="Times New Roman" w:cs="Times New Roman"/>
          <w:sz w:val="18"/>
          <w:szCs w:val="18"/>
        </w:rPr>
      </w:pPr>
      <w:r w:rsidRPr="0042058C">
        <w:rPr>
          <w:rFonts w:ascii="Times New Roman" w:eastAsia="Calibri" w:hAnsi="Times New Roman" w:cs="Times New Roman"/>
          <w:sz w:val="18"/>
          <w:szCs w:val="18"/>
        </w:rPr>
        <w:t>** –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42058C" w:rsidRPr="0042058C" w:rsidRDefault="0042058C" w:rsidP="0042058C">
      <w:pPr>
        <w:spacing w:after="0" w:line="240" w:lineRule="auto"/>
        <w:jc w:val="both"/>
        <w:rPr>
          <w:rFonts w:ascii="Times New Roman" w:eastAsia="Calibri" w:hAnsi="Times New Roman" w:cs="Times New Roman"/>
          <w:sz w:val="18"/>
          <w:szCs w:val="18"/>
        </w:rPr>
      </w:pPr>
      <w:r w:rsidRPr="0042058C">
        <w:rPr>
          <w:rFonts w:ascii="Times New Roman" w:eastAsia="Calibri" w:hAnsi="Times New Roman" w:cs="Times New Roman"/>
          <w:sz w:val="18"/>
          <w:szCs w:val="18"/>
        </w:rPr>
        <w:t>*** – Комплексы физкультурно-оздоровительных площадок должны быть предусмотрены в каждом населенном пункте Труновского муниципального округа.</w:t>
      </w: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b/>
          <w:sz w:val="24"/>
          <w:szCs w:val="24"/>
        </w:rPr>
      </w:pP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 xml:space="preserve">В соответствии с прогнозом численности населения рассчитаны показатели дефицита мощностей спортивных сооружений на момент разработки генерального плана и на расчетный срок его реализации (таблица). </w:t>
      </w: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0</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Расчет существующей и необходимой обеспеченности населения Труновского муниципального округа объектами физической культуры </w:t>
      </w:r>
      <w:r w:rsidR="00C43664">
        <w:rPr>
          <w:rFonts w:ascii="Times New Roman" w:eastAsia="Calibri" w:hAnsi="Times New Roman" w:cs="Times New Roman"/>
          <w:bCs/>
          <w:sz w:val="28"/>
          <w:szCs w:val="28"/>
        </w:rPr>
        <w:t xml:space="preserve">                  </w:t>
      </w:r>
      <w:r w:rsidRPr="0042058C">
        <w:rPr>
          <w:rFonts w:ascii="Times New Roman" w:eastAsia="Calibri" w:hAnsi="Times New Roman" w:cs="Times New Roman"/>
          <w:bCs/>
          <w:sz w:val="28"/>
          <w:szCs w:val="28"/>
        </w:rPr>
        <w:t>и спорта на расчетный срок генерального плана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8"/>
        <w:gridCol w:w="1986"/>
        <w:gridCol w:w="1375"/>
        <w:gridCol w:w="1753"/>
        <w:gridCol w:w="1753"/>
      </w:tblGrid>
      <w:tr w:rsidR="0042058C" w:rsidRPr="0042058C" w:rsidTr="0042058C">
        <w:tc>
          <w:tcPr>
            <w:tcW w:w="13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объекта</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Фактическое состояние на 2021 г.</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Потребность на 2021 г.</w:t>
            </w:r>
          </w:p>
        </w:tc>
        <w:tc>
          <w:tcPr>
            <w:tcW w:w="94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Перспективная потребность к 2041 г.</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Дефицит (-), профицит (+) на 2041 год</w:t>
            </w:r>
          </w:p>
        </w:tc>
      </w:tr>
      <w:tr w:rsidR="0042058C" w:rsidRPr="0042058C" w:rsidTr="0042058C">
        <w:tc>
          <w:tcPr>
            <w:tcW w:w="13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Физкультурно-спортивные сооружения общего пользования, га</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3,22</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26,9</w:t>
            </w:r>
          </w:p>
        </w:tc>
        <w:tc>
          <w:tcPr>
            <w:tcW w:w="94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20,8</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-17,6</w:t>
            </w:r>
          </w:p>
        </w:tc>
      </w:tr>
      <w:tr w:rsidR="0042058C" w:rsidRPr="0042058C" w:rsidTr="0042058C">
        <w:tc>
          <w:tcPr>
            <w:tcW w:w="13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Спортивные залы общего пользования, м</w:t>
            </w:r>
            <w:r w:rsidRPr="0042058C">
              <w:rPr>
                <w:rFonts w:ascii="Times New Roman" w:eastAsia="Calibri" w:hAnsi="Times New Roman" w:cs="Times New Roman"/>
                <w:sz w:val="20"/>
                <w:szCs w:val="20"/>
                <w:vertAlign w:val="superscript"/>
              </w:rPr>
              <w:t>2</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2736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5969,2</w:t>
            </w:r>
          </w:p>
        </w:tc>
        <w:tc>
          <w:tcPr>
            <w:tcW w:w="94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4623,8</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-1887,8</w:t>
            </w:r>
          </w:p>
        </w:tc>
      </w:tr>
      <w:tr w:rsidR="0042058C" w:rsidRPr="0042058C" w:rsidTr="0042058C">
        <w:tc>
          <w:tcPr>
            <w:tcW w:w="13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Бассейны крытые и открытые общего пользования, м</w:t>
            </w:r>
            <w:r w:rsidRPr="0042058C">
              <w:rPr>
                <w:rFonts w:ascii="Times New Roman" w:eastAsia="Calibri" w:hAnsi="Times New Roman" w:cs="Times New Roman"/>
                <w:sz w:val="20"/>
                <w:szCs w:val="20"/>
                <w:vertAlign w:val="superscript"/>
              </w:rPr>
              <w:t>2</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746,15</w:t>
            </w:r>
          </w:p>
        </w:tc>
        <w:tc>
          <w:tcPr>
            <w:tcW w:w="94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578,0</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-578,0</w:t>
            </w:r>
          </w:p>
        </w:tc>
      </w:tr>
      <w:tr w:rsidR="0042058C" w:rsidRPr="0042058C" w:rsidTr="0042058C">
        <w:trPr>
          <w:trHeight w:val="70"/>
        </w:trPr>
        <w:tc>
          <w:tcPr>
            <w:tcW w:w="131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Физкультурно-оздоровительные площадки (комплексы), ед.</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51</w:t>
            </w:r>
          </w:p>
        </w:tc>
        <w:tc>
          <w:tcPr>
            <w:tcW w:w="94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51</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w:t>
            </w:r>
          </w:p>
        </w:tc>
      </w:tr>
    </w:tbl>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b/>
          <w:sz w:val="24"/>
          <w:szCs w:val="24"/>
        </w:rPr>
      </w:pPr>
    </w:p>
    <w:p w:rsidR="0042058C" w:rsidRPr="0042058C" w:rsidRDefault="0042058C" w:rsidP="0042058C">
      <w:pPr>
        <w:widowControl w:val="0"/>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 xml:space="preserve">Согласно Приказу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в населенных пунктах в зависимости </w:t>
      </w:r>
      <w:r w:rsidR="00C43664">
        <w:rPr>
          <w:rFonts w:ascii="Times New Roman" w:eastAsia="Times New Roman" w:hAnsi="Times New Roman" w:cs="Times New Roman"/>
          <w:sz w:val="28"/>
          <w:szCs w:val="28"/>
        </w:rPr>
        <w:t xml:space="preserve">                    </w:t>
      </w:r>
      <w:r w:rsidRPr="0042058C">
        <w:rPr>
          <w:rFonts w:ascii="Times New Roman" w:eastAsia="Times New Roman" w:hAnsi="Times New Roman" w:cs="Times New Roman"/>
          <w:sz w:val="28"/>
          <w:szCs w:val="28"/>
        </w:rPr>
        <w:t>от численности населения необходимо размещать:</w:t>
      </w:r>
    </w:p>
    <w:p w:rsidR="0042058C" w:rsidRPr="0042058C" w:rsidRDefault="0042058C" w:rsidP="0042058C">
      <w:pPr>
        <w:tabs>
          <w:tab w:val="left" w:pos="993"/>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ab/>
        <w:t>от 50 до 500 человек – игровые спортивные площадки и (или) уличные тренажеры, турники, приспособленные площадки, не требующие капитальных вложений;</w:t>
      </w:r>
    </w:p>
    <w:p w:rsidR="0042058C" w:rsidRPr="0042058C" w:rsidRDefault="0042058C" w:rsidP="0042058C">
      <w:pPr>
        <w:tabs>
          <w:tab w:val="left" w:pos="993"/>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ab/>
        <w:t xml:space="preserve">от 500 до 5000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 </w:t>
      </w:r>
    </w:p>
    <w:p w:rsidR="0042058C" w:rsidRPr="0042058C" w:rsidRDefault="0042058C" w:rsidP="0042058C">
      <w:pPr>
        <w:tabs>
          <w:tab w:val="left" w:pos="993"/>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ab/>
        <w:t>от 5000 до 30000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стадион на 1500 зрителей и более;</w:t>
      </w:r>
    </w:p>
    <w:p w:rsidR="0042058C" w:rsidRPr="0042058C" w:rsidRDefault="0042058C" w:rsidP="0042058C">
      <w:pPr>
        <w:tabs>
          <w:tab w:val="left" w:pos="993"/>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ab/>
        <w:t>свыше 30000 человек – игровые спортивные площадки и (или) уличные тренажеры, турники, приспособленные площадки, спортивные залы, в том числе имеющихся в указанных населенных пунктах образовательных учреждений, стадион на 1500 зрителей и более, плавательный бассейн, в том числе в виде многофункционального спортивного сооружения, включающего как бассейн, так и универсальный игровой зал.</w:t>
      </w: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 xml:space="preserve">Обеспеченность населенных пунктов муниципального округа спортивными объектами не достигает 100%. </w:t>
      </w:r>
      <w:r w:rsidRPr="0042058C">
        <w:rPr>
          <w:rFonts w:ascii="Times New Roman" w:eastAsia="Times New Roman" w:hAnsi="Times New Roman" w:cs="Times New Roman"/>
          <w:color w:val="000000"/>
          <w:sz w:val="28"/>
          <w:szCs w:val="28"/>
        </w:rPr>
        <w:t>На территории округа нет бассейнов, необходимых для обеспечения населения водно-оздоровительными услугами. Необходимо предусмотреть строительство муниципального бассейна в с. Донском.</w:t>
      </w:r>
    </w:p>
    <w:p w:rsidR="0042058C" w:rsidRPr="0042058C" w:rsidRDefault="0042058C" w:rsidP="0042058C">
      <w:pPr>
        <w:widowControl w:val="0"/>
        <w:tabs>
          <w:tab w:val="left" w:pos="993"/>
        </w:tabs>
        <w:spacing w:after="0"/>
        <w:ind w:firstLine="709"/>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rPr>
        <w:t>Для полноценного функционирования и развития спортивной сферы Труновского муниципального округа на первую очередь и расчетный срок генерального плана предусмотрено выполнение следующих мероприятий:</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реконструкция стадиона площадью 28409 м</w:t>
      </w:r>
      <w:r w:rsidRPr="0042058C">
        <w:rPr>
          <w:rFonts w:ascii="Times New Roman" w:eastAsia="Calibri" w:hAnsi="Times New Roman" w:cs="Times New Roman"/>
          <w:sz w:val="28"/>
          <w:szCs w:val="28"/>
          <w:vertAlign w:val="superscript"/>
        </w:rPr>
        <w:t>2</w:t>
      </w:r>
      <w:r w:rsidRPr="0042058C">
        <w:rPr>
          <w:rFonts w:ascii="Times New Roman" w:eastAsia="Calibri" w:hAnsi="Times New Roman" w:cs="Times New Roman"/>
          <w:sz w:val="28"/>
          <w:szCs w:val="28"/>
        </w:rPr>
        <w:t xml:space="preserve"> с двумя трибунами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1500 человек, синтетическим полем 103х60 м, административным зданием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раздевалками, душевыми, беговой дорожкой 400 м с покрытием, комплексной площадкой для игровых видов спорта 20х40 м, мини-футбольным полем с синтетическим покрытием 24х45 м, спортивной площадкой по выполнению нормативов ГТО, сектором для прыжков, метаний, мачты освещения, туалетами для зрителей, ограждением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 Донском;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плавательного бассейна с пропускной способностью 48 человек площадью 7403+/-30 м</w:t>
      </w:r>
      <w:r w:rsidRPr="0042058C">
        <w:rPr>
          <w:rFonts w:ascii="Times New Roman" w:eastAsia="Calibri" w:hAnsi="Times New Roman" w:cs="Times New Roman"/>
          <w:sz w:val="28"/>
          <w:szCs w:val="28"/>
          <w:vertAlign w:val="superscript"/>
        </w:rPr>
        <w:t xml:space="preserve">2 </w:t>
      </w:r>
      <w:r w:rsidRPr="0042058C">
        <w:rPr>
          <w:rFonts w:ascii="Times New Roman" w:eastAsia="Calibri" w:hAnsi="Times New Roman" w:cs="Times New Roman"/>
          <w:sz w:val="28"/>
          <w:szCs w:val="28"/>
        </w:rPr>
        <w:t xml:space="preserve">с размером основной ванны 11х25 м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4 дорожками и ванны для детей – 10х6 м в с. Донском;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МКОУ ООШ №6 размером 20х40 м в с. Донском;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МБОУ Гимназия №7 размером 20х40 м в с. Донском;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МКУ ДО ДЮСШ размером 20х40 м в с. Донском;</w:t>
      </w:r>
    </w:p>
    <w:p w:rsidR="0042058C" w:rsidRPr="0042058C" w:rsidRDefault="0042058C" w:rsidP="00953F17">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строительство спортивного ядра вместимостью 500 мест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 Безопасном;</w:t>
      </w:r>
    </w:p>
    <w:p w:rsidR="0042058C" w:rsidRPr="0042058C" w:rsidRDefault="0042058C" w:rsidP="00953F17">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комплексной спортивной площадки на базе МКОУ СОШ №3 размером 20х40 м в с. Безопасном;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спортивного ядра вместимостью 500 мест в п. им. Кирова;</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МКОУ СОШ №4 размером 20х40 м в п. им. Кирова;</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общеобразовательного учреждения размером 20х40 м в с. Новая Кугульта;</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общеобразовательного учреждения размером 20х40 м в с. Подлесном;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строительство спортивного ядра вместимостью 500 мест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с. Труновском;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МКОУ СОШ №2 размером 20х40 м в с. Труновском;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МКОУ ООШ №8 размером 20х40 м в с. Труновском;</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комплексной спортивной площадки на базе МКОУ ООШ №9 размером 20х40 м в с. Труновском.</w:t>
      </w:r>
    </w:p>
    <w:p w:rsidR="0042058C" w:rsidRPr="0042058C" w:rsidRDefault="0042058C" w:rsidP="0042058C">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расчетный срок генерального плана предусмотрено строительство физкультурно-оздоровительного комплекса размером 37</w:t>
      </w:r>
      <w:r w:rsidRPr="0042058C">
        <w:rPr>
          <w:rFonts w:ascii="Times New Roman" w:eastAsia="Calibri" w:hAnsi="Times New Roman" w:cs="Times New Roman"/>
          <w:sz w:val="28"/>
          <w:szCs w:val="28"/>
          <w:lang w:val="en-US"/>
        </w:rPr>
        <w:t>x</w:t>
      </w:r>
      <w:r w:rsidRPr="0042058C">
        <w:rPr>
          <w:rFonts w:ascii="Times New Roman" w:eastAsia="Calibri" w:hAnsi="Times New Roman" w:cs="Times New Roman"/>
          <w:sz w:val="28"/>
          <w:szCs w:val="28"/>
        </w:rPr>
        <w:t>88 м со спортивным залом – 24</w:t>
      </w:r>
      <w:r w:rsidRPr="0042058C">
        <w:rPr>
          <w:rFonts w:ascii="Times New Roman" w:eastAsia="Calibri" w:hAnsi="Times New Roman" w:cs="Times New Roman"/>
          <w:sz w:val="28"/>
          <w:szCs w:val="28"/>
          <w:lang w:val="en-US"/>
        </w:rPr>
        <w:t>x</w:t>
      </w:r>
      <w:r w:rsidRPr="0042058C">
        <w:rPr>
          <w:rFonts w:ascii="Times New Roman" w:eastAsia="Calibri" w:hAnsi="Times New Roman" w:cs="Times New Roman"/>
          <w:sz w:val="28"/>
          <w:szCs w:val="28"/>
        </w:rPr>
        <w:t>42 м и трибунами вместимостью 175 человек в с. Донском.</w:t>
      </w:r>
    </w:p>
    <w:p w:rsidR="0042058C" w:rsidRPr="0042058C" w:rsidRDefault="0042058C" w:rsidP="0042058C">
      <w:pPr>
        <w:spacing w:after="0"/>
        <w:ind w:firstLine="708"/>
        <w:jc w:val="both"/>
        <w:outlineLvl w:val="2"/>
        <w:rPr>
          <w:rFonts w:ascii="Times New Roman" w:eastAsia="Calibri" w:hAnsi="Times New Roman" w:cs="Times New Roman"/>
          <w:sz w:val="28"/>
          <w:szCs w:val="28"/>
        </w:rPr>
      </w:pPr>
      <w:bookmarkStart w:id="90" w:name="_Toc85173321"/>
      <w:r w:rsidRPr="0042058C">
        <w:rPr>
          <w:rFonts w:ascii="Times New Roman" w:eastAsia="Calibri" w:hAnsi="Times New Roman" w:cs="Times New Roman"/>
          <w:sz w:val="28"/>
          <w:szCs w:val="28"/>
        </w:rPr>
        <w:t>5</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Социальное обслуживание</w:t>
      </w:r>
      <w:bookmarkEnd w:id="90"/>
      <w:r w:rsidRPr="0042058C">
        <w:rPr>
          <w:rFonts w:ascii="Times New Roman" w:eastAsia="Calibri" w:hAnsi="Times New Roman" w:cs="Times New Roman"/>
          <w:sz w:val="28"/>
          <w:szCs w:val="28"/>
        </w:rPr>
        <w:t>.</w:t>
      </w:r>
    </w:p>
    <w:p w:rsidR="0042058C" w:rsidRPr="0042058C" w:rsidRDefault="0042058C" w:rsidP="0042058C">
      <w:pPr>
        <w:suppressAutoHyphens/>
        <w:spacing w:after="0"/>
        <w:ind w:firstLine="709"/>
        <w:jc w:val="both"/>
        <w:rPr>
          <w:rFonts w:ascii="Times New Roman" w:eastAsia="Times New Roman" w:hAnsi="Times New Roman" w:cs="Times New Roman"/>
          <w:sz w:val="28"/>
          <w:szCs w:val="28"/>
          <w:lang w:eastAsia="ar-SA"/>
        </w:rPr>
      </w:pPr>
      <w:r w:rsidRPr="0042058C">
        <w:rPr>
          <w:rFonts w:ascii="Times New Roman" w:eastAsia="Times New Roman" w:hAnsi="Times New Roman" w:cs="Times New Roman"/>
          <w:sz w:val="28"/>
          <w:szCs w:val="28"/>
          <w:lang w:eastAsia="ar-SA"/>
        </w:rPr>
        <w:t xml:space="preserve">По состоянию на 2021 год в муниципальном округе функционирует одно учреждение социального обслуживания населения с филиалами </w:t>
      </w:r>
      <w:r w:rsidR="00C43664">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 xml:space="preserve">в населенных пунктах. На расчетный срок генерального плана </w:t>
      </w:r>
      <w:r w:rsidR="00C43664">
        <w:rPr>
          <w:rFonts w:ascii="Times New Roman" w:eastAsia="Times New Roman" w:hAnsi="Times New Roman" w:cs="Times New Roman"/>
          <w:sz w:val="28"/>
          <w:szCs w:val="28"/>
          <w:lang w:eastAsia="ar-SA"/>
        </w:rPr>
        <w:t xml:space="preserve">                             </w:t>
      </w:r>
      <w:r w:rsidRPr="0042058C">
        <w:rPr>
          <w:rFonts w:ascii="Times New Roman" w:eastAsia="Times New Roman" w:hAnsi="Times New Roman" w:cs="Times New Roman"/>
          <w:sz w:val="28"/>
          <w:szCs w:val="28"/>
          <w:lang w:eastAsia="ar-SA"/>
        </w:rPr>
        <w:t>не планируется строительство новых учреждений социального обслуживания.</w:t>
      </w:r>
    </w:p>
    <w:p w:rsidR="0042058C" w:rsidRPr="0042058C" w:rsidRDefault="0042058C" w:rsidP="00C43664">
      <w:pPr>
        <w:spacing w:after="0"/>
        <w:ind w:firstLine="709"/>
        <w:jc w:val="both"/>
        <w:outlineLvl w:val="1"/>
        <w:rPr>
          <w:rFonts w:ascii="Times New Roman" w:eastAsia="Calibri" w:hAnsi="Times New Roman" w:cs="Times New Roman"/>
          <w:sz w:val="28"/>
          <w:szCs w:val="28"/>
        </w:rPr>
      </w:pPr>
      <w:bookmarkStart w:id="91" w:name="_Toc85173322"/>
      <w:r w:rsidRPr="0042058C">
        <w:rPr>
          <w:rFonts w:ascii="Times New Roman" w:eastAsia="Calibri" w:hAnsi="Times New Roman" w:cs="Times New Roman"/>
          <w:sz w:val="28"/>
          <w:szCs w:val="28"/>
        </w:rPr>
        <w:t xml:space="preserve">4. </w:t>
      </w:r>
      <w:bookmarkEnd w:id="91"/>
      <w:r w:rsidRPr="0042058C">
        <w:rPr>
          <w:rFonts w:ascii="Times New Roman" w:eastAsia="Calibri" w:hAnsi="Times New Roman" w:cs="Times New Roman"/>
          <w:sz w:val="28"/>
          <w:szCs w:val="28"/>
        </w:rPr>
        <w:t>Развитие экономического потенциала территории округа предполагает выявление перспективных отраслей и реализацию инвестиционных проектов, которые принесут синергетический эффект для экономики района и будут способствовать увеличению бюджетных доходов муниципального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Основные критерии отбора отраслей следующие:</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соответствие структуре экономики округа;</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социально-экономическая эффективность отрасли;</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возможность поддержки и субсидирования за счет бюджетных средств;</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наличие достаточной ресурсной базы;</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наличие перспективных рынков сбыта продукции;</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Достаточный кадровый потенциал.</w:t>
      </w:r>
    </w:p>
    <w:p w:rsidR="0042058C" w:rsidRPr="0042058C" w:rsidRDefault="0042058C" w:rsidP="00F62636">
      <w:pPr>
        <w:tabs>
          <w:tab w:val="left" w:pos="709"/>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Перспективные отрасли округа: </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плодоводство;</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овощеводство;</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элитное семеноводство и </w:t>
      </w:r>
      <w:r w:rsidRPr="0042058C">
        <w:rPr>
          <w:rFonts w:ascii="Times New Roman" w:eastAsia="Calibri" w:hAnsi="Times New Roman" w:cs="Times New Roman"/>
          <w:sz w:val="28"/>
          <w:szCs w:val="28"/>
          <w:lang w:eastAsia="x-none"/>
        </w:rPr>
        <w:t>селекционно-племенная работа</w:t>
      </w:r>
      <w:r w:rsidRPr="0042058C">
        <w:rPr>
          <w:rFonts w:ascii="Times New Roman" w:eastAsia="Calibri" w:hAnsi="Times New Roman" w:cs="Times New Roman"/>
          <w:sz w:val="28"/>
          <w:szCs w:val="28"/>
        </w:rPr>
        <w:t>;</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пищевая промышленность;</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переработка продукции животноводства;</w:t>
      </w:r>
    </w:p>
    <w:p w:rsidR="0042058C" w:rsidRPr="0042058C" w:rsidRDefault="0042058C" w:rsidP="00F62636">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переработка и хранение продукции плодоовощеводства.</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1</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Матрица оценки перспективных отраслей округа</w:t>
      </w:r>
      <w:r w:rsidRPr="0042058C">
        <w:rPr>
          <w:rFonts w:ascii="Times New Roman" w:eastAsia="Calibri" w:hAnsi="Times New Roman" w:cs="Times New Roman"/>
          <w:bCs/>
          <w:sz w:val="28"/>
          <w:szCs w:val="28"/>
          <w:vertAlign w:val="superscript"/>
        </w:rPr>
        <w:footnoteReference w:id="91"/>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34"/>
        <w:gridCol w:w="992"/>
        <w:gridCol w:w="993"/>
        <w:gridCol w:w="992"/>
        <w:gridCol w:w="1134"/>
        <w:gridCol w:w="1134"/>
      </w:tblGrid>
      <w:tr w:rsidR="0042058C" w:rsidRPr="0042058C" w:rsidTr="0042058C">
        <w:trPr>
          <w:jc w:val="center"/>
        </w:trPr>
        <w:tc>
          <w:tcPr>
            <w:tcW w:w="2972" w:type="dxa"/>
            <w:tcBorders>
              <w:tl2br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 направления</w:t>
            </w:r>
          </w:p>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 критерия</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1</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6</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1</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6</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3</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4</w:t>
            </w:r>
          </w:p>
        </w:tc>
      </w:tr>
      <w:tr w:rsidR="0042058C" w:rsidRPr="0042058C" w:rsidTr="0042058C">
        <w:trPr>
          <w:jc w:val="center"/>
        </w:trPr>
        <w:tc>
          <w:tcPr>
            <w:tcW w:w="297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Итоговый рейтинг</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27</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26</w:t>
            </w:r>
          </w:p>
        </w:tc>
        <w:tc>
          <w:tcPr>
            <w:tcW w:w="993"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25</w:t>
            </w:r>
          </w:p>
        </w:tc>
        <w:tc>
          <w:tcPr>
            <w:tcW w:w="99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25</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21</w:t>
            </w:r>
          </w:p>
        </w:tc>
        <w:tc>
          <w:tcPr>
            <w:tcW w:w="1134"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4"/>
                <w:szCs w:val="24"/>
              </w:rPr>
            </w:pPr>
            <w:r w:rsidRPr="0042058C">
              <w:rPr>
                <w:rFonts w:ascii="Times New Roman" w:eastAsia="Calibri" w:hAnsi="Times New Roman" w:cs="Times New Roman"/>
                <w:sz w:val="24"/>
                <w:szCs w:val="24"/>
              </w:rPr>
              <w:t>25</w:t>
            </w:r>
          </w:p>
        </w:tc>
      </w:tr>
    </w:tbl>
    <w:p w:rsidR="0042058C" w:rsidRPr="0042058C" w:rsidRDefault="0042058C" w:rsidP="0042058C">
      <w:pPr>
        <w:spacing w:after="0"/>
        <w:ind w:firstLine="709"/>
        <w:jc w:val="both"/>
        <w:rPr>
          <w:rFonts w:ascii="Times New Roman" w:eastAsia="Calibri" w:hAnsi="Times New Roman" w:cs="Times New Roman"/>
          <w:b/>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Инвестиционные проекты в пищевой промышленности дадут максимальный бюджетный и социальный эффект, за счет наличия перспективных рынков сбыта продукции и создания новых рабочих мест, ограничивающим фактором выступает высокий уровень конкуренции. Развитие плодоводства, овощеводства, элитного семеноводства </w:t>
      </w:r>
      <w:r w:rsidR="00C4366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селекционно-племенная работа в рамках развития импортозамещающих производств имеет максимальный приоритет государственной поддержки,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но отсутствие необходимой логистической инфраструктуры может стать ограничивающим фактором роста. Снижение поголовья скота сократило ресурсную базу для селекционно-племенной работы, длительный инвестиционный цикл в отрасли делает инвестиционные проекты менее привлекательными, поэтому основным драйвером развития животноводства будет выступать наличие государственной поддержки. Развитие плодоводства, переработка и хранение продукции может стать новым направлением развития экономики округа, так как имеется достаточная ресурсная база, относительно низкая стоимость рабочей силы снижает издержки, а новые рабочие места снизят уровень социальной напряженности. Овощеводство является традиционной отраслью округа, но низкий спрос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продукцию, низкая рентабельность, зависимость от погодных условий требует привлечения значительных инвестиций на постройку теплиц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рамках реализации программ государственно-частного партнерства.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Таким образом в округе есть все условия для создания благоприятной социально-экономической среды, способствующей росту доходов и качества жизни на</w:t>
      </w:r>
      <w:r w:rsidRPr="0042058C">
        <w:rPr>
          <w:rFonts w:ascii="Times New Roman" w:eastAsia="Calibri" w:hAnsi="Times New Roman" w:cs="Times New Roman"/>
          <w:sz w:val="28"/>
          <w:szCs w:val="28"/>
        </w:rPr>
        <w:softHyphen/>
        <w:t>селения, стимулированию предпринимательской активности, динамичному развитию отраслевых комплексов, росту налогового потенциала округа и увеличению бюджетных поступлений. Успешная реализация инвестиционных проектов в приоритетных отраслях будет требовать:</w:t>
      </w:r>
    </w:p>
    <w:p w:rsidR="0042058C" w:rsidRPr="0042058C" w:rsidRDefault="0042058C" w:rsidP="0042058C">
      <w:pPr>
        <w:tabs>
          <w:tab w:val="left" w:pos="709"/>
        </w:tabs>
        <w:spacing w:after="0"/>
        <w:jc w:val="both"/>
        <w:rPr>
          <w:rFonts w:ascii="Times New Roman" w:eastAsia="Times New Roman" w:hAnsi="Times New Roman" w:cs="Times New Roman"/>
          <w:sz w:val="28"/>
          <w:szCs w:val="28"/>
          <w:shd w:val="clear" w:color="auto" w:fill="FFFFFF"/>
        </w:rPr>
      </w:pPr>
      <w:r w:rsidRPr="0042058C">
        <w:rPr>
          <w:rFonts w:ascii="Times New Roman" w:eastAsia="Times New Roman" w:hAnsi="Times New Roman" w:cs="Times New Roman"/>
          <w:sz w:val="28"/>
          <w:szCs w:val="28"/>
        </w:rPr>
        <w:tab/>
        <w:t>совершенствование системы привлечения инвестиций и механизмов государственной и муниципальной поддержки инвестиционных проектов</w:t>
      </w:r>
      <w:r w:rsidRPr="0042058C">
        <w:rPr>
          <w:rFonts w:ascii="Times New Roman" w:eastAsia="Times New Roman" w:hAnsi="Times New Roman" w:cs="Times New Roman"/>
          <w:sz w:val="28"/>
          <w:szCs w:val="28"/>
          <w:shd w:val="clear" w:color="auto" w:fill="FFFFFF"/>
        </w:rPr>
        <w:t>;</w:t>
      </w:r>
    </w:p>
    <w:p w:rsidR="0042058C" w:rsidRPr="0042058C" w:rsidRDefault="0042058C" w:rsidP="0042058C">
      <w:pPr>
        <w:tabs>
          <w:tab w:val="left" w:pos="709"/>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shd w:val="clear" w:color="auto" w:fill="FFFFFF"/>
        </w:rPr>
        <w:tab/>
        <w:t>создания современной информационной и прозрачной инфраструктуры взаимодействия государства, граждан и бизнеса,</w:t>
      </w:r>
      <w:r w:rsidRPr="0042058C">
        <w:rPr>
          <w:rFonts w:ascii="Times New Roman" w:eastAsia="MS Mincho" w:hAnsi="Times New Roman" w:cs="Times New Roman"/>
          <w:sz w:val="28"/>
          <w:szCs w:val="28"/>
        </w:rPr>
        <w:t xml:space="preserve"> формирование </w:t>
      </w:r>
      <w:r w:rsidR="00251368">
        <w:rPr>
          <w:rFonts w:ascii="Times New Roman" w:eastAsia="MS Mincho" w:hAnsi="Times New Roman" w:cs="Times New Roman"/>
          <w:sz w:val="28"/>
          <w:szCs w:val="28"/>
        </w:rPr>
        <w:t xml:space="preserve">                          </w:t>
      </w:r>
      <w:r w:rsidRPr="0042058C">
        <w:rPr>
          <w:rFonts w:ascii="Times New Roman" w:eastAsia="MS Mincho" w:hAnsi="Times New Roman" w:cs="Times New Roman"/>
          <w:sz w:val="28"/>
          <w:szCs w:val="28"/>
        </w:rPr>
        <w:t xml:space="preserve">и продвижение бренда Труновского </w:t>
      </w:r>
      <w:r w:rsidRPr="0042058C">
        <w:rPr>
          <w:rFonts w:ascii="Times New Roman" w:eastAsia="Times New Roman" w:hAnsi="Times New Roman" w:cs="Times New Roman"/>
          <w:sz w:val="28"/>
          <w:szCs w:val="28"/>
        </w:rPr>
        <w:t>муниципального округа</w:t>
      </w:r>
      <w:r w:rsidRPr="0042058C">
        <w:rPr>
          <w:rFonts w:ascii="Times New Roman" w:eastAsia="Times New Roman" w:hAnsi="Times New Roman" w:cs="Times New Roman"/>
          <w:sz w:val="28"/>
          <w:szCs w:val="28"/>
          <w:shd w:val="clear" w:color="auto" w:fill="FFFFFF"/>
        </w:rPr>
        <w:t>;</w:t>
      </w:r>
    </w:p>
    <w:p w:rsidR="0042058C" w:rsidRPr="0042058C" w:rsidRDefault="0042058C" w:rsidP="0042058C">
      <w:pPr>
        <w:tabs>
          <w:tab w:val="left" w:pos="709"/>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shd w:val="clear" w:color="auto" w:fill="FFFFFF"/>
        </w:rPr>
        <w:tab/>
        <w:t>создания институциональных и инфраструктурных условий для стимулирования инвестиционной активности крупного бизнеса, экономической активности малого и среднего бизнеса, реализации предпринимательских инициатив граждан;</w:t>
      </w:r>
    </w:p>
    <w:p w:rsidR="0042058C" w:rsidRPr="0042058C" w:rsidRDefault="0042058C" w:rsidP="0042058C">
      <w:pPr>
        <w:tabs>
          <w:tab w:val="left" w:pos="709"/>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shd w:val="clear" w:color="auto" w:fill="FFFFFF"/>
        </w:rPr>
        <w:tab/>
        <w:t>создания условий для продвижения продукции и услуг округа в крае</w:t>
      </w:r>
      <w:r w:rsidR="00251368">
        <w:rPr>
          <w:rFonts w:ascii="Times New Roman" w:eastAsia="Times New Roman" w:hAnsi="Times New Roman" w:cs="Times New Roman"/>
          <w:sz w:val="28"/>
          <w:szCs w:val="28"/>
          <w:shd w:val="clear" w:color="auto" w:fill="FFFFFF"/>
        </w:rPr>
        <w:t xml:space="preserve">            </w:t>
      </w:r>
      <w:r w:rsidRPr="0042058C">
        <w:rPr>
          <w:rFonts w:ascii="Times New Roman" w:eastAsia="Times New Roman" w:hAnsi="Times New Roman" w:cs="Times New Roman"/>
          <w:sz w:val="28"/>
          <w:szCs w:val="28"/>
          <w:shd w:val="clear" w:color="auto" w:fill="FFFFFF"/>
        </w:rPr>
        <w:t>и за его пределами;</w:t>
      </w:r>
    </w:p>
    <w:p w:rsidR="0042058C" w:rsidRPr="0042058C" w:rsidRDefault="0042058C" w:rsidP="0042058C">
      <w:pPr>
        <w:tabs>
          <w:tab w:val="left" w:pos="709"/>
        </w:tabs>
        <w:spacing w:after="0"/>
        <w:jc w:val="both"/>
        <w:rPr>
          <w:rFonts w:ascii="Times New Roman" w:eastAsia="Times New Roman" w:hAnsi="Times New Roman" w:cs="Times New Roman"/>
          <w:sz w:val="28"/>
          <w:szCs w:val="28"/>
        </w:rPr>
      </w:pPr>
      <w:r w:rsidRPr="0042058C">
        <w:rPr>
          <w:rFonts w:ascii="Times New Roman" w:eastAsia="Times New Roman" w:hAnsi="Times New Roman" w:cs="Times New Roman"/>
          <w:sz w:val="28"/>
          <w:szCs w:val="28"/>
          <w:shd w:val="clear" w:color="auto" w:fill="FFFFFF"/>
        </w:rPr>
        <w:tab/>
        <w:t>развития инфраструктуры и создание благоприятной для проживания среды, способствующей привлечению и удержанию высококвалифицированных кадров, особенно в сельской местности;</w:t>
      </w:r>
    </w:p>
    <w:p w:rsidR="0042058C" w:rsidRPr="0042058C" w:rsidRDefault="0042058C" w:rsidP="0042058C">
      <w:pPr>
        <w:tabs>
          <w:tab w:val="left" w:pos="709"/>
        </w:tabs>
        <w:spacing w:after="0"/>
        <w:jc w:val="both"/>
        <w:rPr>
          <w:rFonts w:ascii="Times New Roman" w:eastAsia="Times New Roman" w:hAnsi="Times New Roman" w:cs="Times New Roman"/>
          <w:sz w:val="28"/>
          <w:szCs w:val="28"/>
          <w:shd w:val="clear" w:color="auto" w:fill="FFFFFF"/>
        </w:rPr>
      </w:pPr>
      <w:r w:rsidRPr="0042058C">
        <w:rPr>
          <w:rFonts w:ascii="Times New Roman" w:eastAsia="Times New Roman" w:hAnsi="Times New Roman" w:cs="Times New Roman"/>
          <w:sz w:val="28"/>
          <w:szCs w:val="28"/>
        </w:rPr>
        <w:tab/>
        <w:t>создание и использование эффективной системы взаимодействия между органами местного самоуправления и инвесторами с использованием форм муниципально-частного партнерства при реализации инвестиционных проектов</w:t>
      </w:r>
      <w:r w:rsidRPr="0042058C">
        <w:rPr>
          <w:rFonts w:ascii="Times New Roman" w:eastAsia="Times New Roman" w:hAnsi="Times New Roman" w:cs="Times New Roman"/>
          <w:sz w:val="28"/>
          <w:szCs w:val="28"/>
          <w:shd w:val="clear" w:color="auto" w:fill="FFFFFF"/>
        </w:rPr>
        <w:t>.</w:t>
      </w:r>
    </w:p>
    <w:p w:rsidR="0042058C" w:rsidRPr="0042058C" w:rsidRDefault="0042058C" w:rsidP="0042058C">
      <w:pPr>
        <w:spacing w:after="0"/>
        <w:ind w:firstLine="709"/>
        <w:jc w:val="both"/>
        <w:outlineLvl w:val="1"/>
        <w:rPr>
          <w:rFonts w:ascii="Times New Roman" w:eastAsia="Calibri" w:hAnsi="Times New Roman" w:cs="Times New Roman"/>
          <w:sz w:val="28"/>
          <w:szCs w:val="28"/>
        </w:rPr>
      </w:pPr>
      <w:bookmarkStart w:id="92" w:name="_Toc85173323"/>
      <w:r w:rsidRPr="0042058C">
        <w:rPr>
          <w:rFonts w:ascii="Times New Roman" w:eastAsia="Calibri" w:hAnsi="Times New Roman" w:cs="Times New Roman"/>
          <w:sz w:val="28"/>
          <w:szCs w:val="28"/>
        </w:rPr>
        <w:t>5. Предложения по развитию транспортной инфраструктуры</w:t>
      </w:r>
      <w:bookmarkEnd w:id="92"/>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93" w:name="_Toc85173324"/>
      <w:r w:rsidRPr="0042058C">
        <w:rPr>
          <w:rFonts w:ascii="Times New Roman" w:eastAsia="Calibri" w:hAnsi="Times New Roman" w:cs="Times New Roman"/>
          <w:sz w:val="28"/>
          <w:szCs w:val="28"/>
        </w:rPr>
        <w:t>1</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Внешний транспорт</w:t>
      </w:r>
      <w:bookmarkEnd w:id="93"/>
      <w:r w:rsidRPr="0042058C">
        <w:rPr>
          <w:rFonts w:ascii="Times New Roman" w:eastAsia="Calibri" w:hAnsi="Times New Roman" w:cs="Times New Roman"/>
          <w:sz w:val="28"/>
          <w:szCs w:val="28"/>
        </w:rPr>
        <w:t>.</w:t>
      </w:r>
    </w:p>
    <w:p w:rsidR="0042058C" w:rsidRPr="0042058C" w:rsidRDefault="0042058C" w:rsidP="0042058C">
      <w:pPr>
        <w:spacing w:after="0"/>
        <w:ind w:firstLine="708"/>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Автомобильный транспорт.</w:t>
      </w:r>
      <w:r w:rsidRPr="0042058C">
        <w:rPr>
          <w:rFonts w:ascii="Times New Roman" w:eastAsia="Calibri" w:hAnsi="Times New Roman" w:cs="Times New Roman"/>
          <w:b/>
          <w:sz w:val="28"/>
          <w:szCs w:val="28"/>
        </w:rPr>
        <w:t xml:space="preserve"> </w:t>
      </w:r>
      <w:r w:rsidRPr="0042058C">
        <w:rPr>
          <w:rFonts w:ascii="Times New Roman" w:eastAsia="Calibri" w:hAnsi="Times New Roman" w:cs="Times New Roman"/>
          <w:sz w:val="28"/>
          <w:szCs w:val="28"/>
        </w:rPr>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Правительством Российской Федерации от 19 марта 2013 года №384-р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территории Труновского муниципального округа не предусмотрено объектов федерального 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Согласно схеме территориального планирования Ставропольского края, утвержденной постановлением Правительства Ставропольского края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5 апреля 2011 года №116-п (с изменениями на 20 апреля 2021 года),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 также профильными программами развития автомобильных дорог Ставропольского края, на территории Труновского муниципального округа предусмотрено 4 объекта регионального значения:</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строительство подъезда к п. Правоегорлыкский от автомобильной дороги Ипатово - Золотаревка – Добровольное;</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устройство искусственного электроосвещения на участке автомобильной дороги Изобильный - Труновское - Кугульта, км 19+250 -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км 24+250;</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реконструкция автомобильной дороги Изобильный - Труновское - Кугульта, км 35+580 - км 46+220 (второй, третий этапы строительства);</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реконструкция автомобильной дороги Ростов-на-Дону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М-4 «Дон») – Ставрополь (в границах Ставропольского края), в том числе: км 242+500 – км 245+500; км 245+890 – км 248+890; км 248+890 –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км 252+890.</w:t>
      </w:r>
    </w:p>
    <w:p w:rsidR="0042058C" w:rsidRPr="0042058C" w:rsidRDefault="0042058C" w:rsidP="0042058C">
      <w:pPr>
        <w:spacing w:after="0"/>
        <w:ind w:firstLine="708"/>
        <w:jc w:val="both"/>
        <w:outlineLvl w:val="2"/>
        <w:rPr>
          <w:rFonts w:ascii="Times New Roman" w:eastAsia="Calibri" w:hAnsi="Times New Roman" w:cs="Times New Roman"/>
          <w:sz w:val="28"/>
          <w:szCs w:val="28"/>
        </w:rPr>
      </w:pPr>
      <w:bookmarkStart w:id="94" w:name="_Toc85173325"/>
      <w:r w:rsidRPr="0042058C">
        <w:rPr>
          <w:rFonts w:ascii="Times New Roman" w:eastAsia="Calibri" w:hAnsi="Times New Roman" w:cs="Times New Roman"/>
          <w:sz w:val="28"/>
          <w:szCs w:val="28"/>
        </w:rPr>
        <w:t>2</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Улично-дорожная сеть</w:t>
      </w:r>
      <w:bookmarkEnd w:id="94"/>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Существующая УДС, как основной элемент планировочной структуры населенных пунктов в составе муниципального округа на первую очередь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расчетный срок не будет изменяться. Сложившаяся сеть обеспечивает связь жилых домов и объектов социальной инфраструктуры, формируя внутренний каркас сельских населенных пунктов.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Сегодня в округе сохраняется ряд проблем, касающихся УДС.</w:t>
      </w:r>
    </w:p>
    <w:p w:rsidR="0042058C" w:rsidRPr="0042058C" w:rsidRDefault="0042058C" w:rsidP="0042058C">
      <w:pPr>
        <w:tabs>
          <w:tab w:val="left" w:pos="1134"/>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Сохраняется достаточно высокая доля дорог с грунтовым покрытием.</w:t>
      </w:r>
    </w:p>
    <w:p w:rsidR="0042058C" w:rsidRPr="0042058C" w:rsidRDefault="0042058C" w:rsidP="0042058C">
      <w:pPr>
        <w:tabs>
          <w:tab w:val="left" w:pos="1134"/>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Серьезные нагрузки на существующие автомобильные дороги общего пользования регионального и местного значения большого потока транзитного грузового транспорта.</w:t>
      </w:r>
    </w:p>
    <w:p w:rsidR="0042058C" w:rsidRPr="0042058C" w:rsidRDefault="0042058C" w:rsidP="0042058C">
      <w:pPr>
        <w:tabs>
          <w:tab w:val="left" w:pos="1134"/>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Территориальная разобщенность планировочных единиц муниципального округа, низкая транспортная связность населенных пунктов между собой.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Проблема в целом и отдельные ее аспекты создают угрозу ограничения экономического роста и реализации различных программ развития муниципального образования.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Планируемые решения в области улично-дорожной сети Труновского муниципального округа предусматривают ряд проектных решений:</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осуществить реконструкцию существующей сети автомобильных дорог местного значения и провести благоустройство прилегающей территории;</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формирование условий для беспрепятственного транзитного движения автотранспорта, в том числе грузового;</w:t>
      </w:r>
    </w:p>
    <w:p w:rsidR="0042058C" w:rsidRPr="0042058C" w:rsidRDefault="0042058C" w:rsidP="0042058C">
      <w:pPr>
        <w:tabs>
          <w:tab w:val="left" w:pos="993"/>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рост взаимосвязей центра с. Донского и отдельных населенных пунктов округа, а также усиление агломерационных связей.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основу проектного решения принят современный принцип дифференцирования движения с отделением транспортного движения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обслуживающего и транспортного от пешеходного (с соответствующей специализацией поперечных профилей улиц). В соответствии с данным принципом определена классификация системы улиц, которые подразделяются на автодороги с движением общественного транспорта, жилые улицы общего типа и жилые улицы с преимущественно пешеходным движением, жилые улицы, выполняющие функции местных подъездов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проездов. Согласно п.11.2 СП 42.13330.2016 «Градостроительство. Планировка и застройка городских и сельских поселений», для жителей сельских поселений затраты времени на трудовые передвижения (пешеходные или с использованием транспорта) и передвижения в пределах сельскохозяйственного предприятия не должны превышать 30 мин.</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Современная уличная сеть неправильную форму в связи с наличие природных объектов (рек, балок, оврагов и т.д.), но в центре в основном имеет прямоугольное строение и не изменится к расчетному сроку. Все сельские поселения в основном имеют прямоугольную форму, вытянутую вдоль основных балок и малых рек.</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Основные улицы в жилой застройке должны быть благоустроены, иметь асфальтовое покрытие и тротуары. Подцентры необходимо благоустроить с устройством тротуаров из тротуарной плитки в пешеходной зоне. </w:t>
      </w:r>
    </w:p>
    <w:p w:rsidR="0042058C" w:rsidRPr="0042058C" w:rsidRDefault="0042058C" w:rsidP="0042058C">
      <w:pPr>
        <w:autoSpaceDE w:val="0"/>
        <w:autoSpaceDN w:val="0"/>
        <w:adjustRightInd w:val="0"/>
        <w:spacing w:after="0"/>
        <w:ind w:firstLine="708"/>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 магистральным улицам основного движения автомобильного транспорта, у объектов общественного центра, автовокзала, рынка, стадиона, в зоне отдыха, в производственных зонах необходимо предусмотреть организацию автостоянок, с определением емкости в соответствии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региональными нормативами градостроительного проектирования.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До окончания расчетного срока реализации генерального плана предусмотрена реконструкция большого числа автодорог местного значения с изменением грунтового полотна на асфальтовое покрытие. На первую очередь предусмотрена реконструкция дорог, связывающих центр населенного пункта и объекты социального обслуживания, а также сложившейся вокруг них жилой застройки. Вторая очередь направлена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соединение отдаленных частей населенных пунктов с центром, а также прокладка новых дорог в местах новой жилой застройки. Полный перечень мероприятий представлен в положении о территориальном планировании настоящего проекта генерального плана.</w:t>
      </w:r>
    </w:p>
    <w:p w:rsidR="0042058C" w:rsidRPr="0042058C" w:rsidRDefault="0042058C" w:rsidP="0042058C">
      <w:pPr>
        <w:spacing w:after="0"/>
        <w:ind w:left="567" w:firstLine="142"/>
        <w:jc w:val="both"/>
        <w:outlineLvl w:val="2"/>
        <w:rPr>
          <w:rFonts w:ascii="Times New Roman" w:eastAsia="Calibri" w:hAnsi="Times New Roman" w:cs="Times New Roman"/>
          <w:sz w:val="28"/>
          <w:szCs w:val="28"/>
        </w:rPr>
      </w:pPr>
      <w:bookmarkStart w:id="95" w:name="_Toc85173326"/>
      <w:r w:rsidRPr="0042058C">
        <w:rPr>
          <w:rFonts w:ascii="Times New Roman" w:eastAsia="Calibri" w:hAnsi="Times New Roman" w:cs="Times New Roman"/>
          <w:sz w:val="28"/>
          <w:szCs w:val="28"/>
        </w:rPr>
        <w:t>3</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Объекты транспортной инфраструктуры</w:t>
      </w:r>
      <w:bookmarkEnd w:id="95"/>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Планируемая потребность объектов дорожного сервиса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муниципальном округе определяется исходя из обеспеченности населения индивидуальными легковыми автомобилями на расчетный срок –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420 автомобилей на 1000 жителей. Исходя из прогнозной численности населения муниципального округа на 2041 год, расчетное количество автомобилей составит – 10,1 тыс. единиц.</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Требования к обеспеченности легковых автомобилей автозаправочными станциями, станциями технического обслуживания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гаражами, и открытыми стоянками для постоянного хранения автомобилей в муниципального округе обозначены в СП 42.13330.2016 и местных нормативах градостроительного проектирования Труновского муниципального округа:</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согласно пункту 11.40 СП 42.13330.2016 потребность в СТО составляет: 1 пост на 200 легковых автомобилей;</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согласно пункту 11.41 потребность в АЗС составляет: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1 топливораздаточная колонка на 1200 легковых автомобилей;</w:t>
      </w:r>
    </w:p>
    <w:p w:rsidR="0042058C" w:rsidRPr="0042058C" w:rsidRDefault="0042058C" w:rsidP="00251368">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соответствии с пунктом 11.37 СП 42.13330.2016 размер земельных участков гаражей (гаражей-стоянок) и стоянок легковых автомобилей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зависимости от их этажности следует </w:t>
      </w:r>
      <w:r w:rsidR="00251368">
        <w:rPr>
          <w:rFonts w:ascii="Times New Roman" w:eastAsia="Calibri" w:hAnsi="Times New Roman" w:cs="Times New Roman"/>
          <w:sz w:val="28"/>
          <w:szCs w:val="28"/>
        </w:rPr>
        <w:t xml:space="preserve">принимать на одно машино-место </w:t>
      </w:r>
      <w:r w:rsidRPr="0042058C">
        <w:rPr>
          <w:rFonts w:ascii="Times New Roman" w:eastAsia="Calibri" w:hAnsi="Times New Roman" w:cs="Times New Roman"/>
          <w:sz w:val="28"/>
          <w:szCs w:val="28"/>
        </w:rPr>
        <w:t>для гаражей (гаражей-стоянок):</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одноэтажных – 30;</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двухэтажных – 20;</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трехэтажных – 14;</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четырехэтажных – 12;</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пятиэтажных – 10;</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r>
      <w:r w:rsidR="00251368">
        <w:rPr>
          <w:rFonts w:ascii="Times New Roman" w:eastAsia="Calibri" w:hAnsi="Times New Roman" w:cs="Times New Roman"/>
          <w:sz w:val="28"/>
          <w:szCs w:val="28"/>
        </w:rPr>
        <w:t xml:space="preserve">для </w:t>
      </w:r>
      <w:r w:rsidRPr="0042058C">
        <w:rPr>
          <w:rFonts w:ascii="Times New Roman" w:eastAsia="Calibri" w:hAnsi="Times New Roman" w:cs="Times New Roman"/>
          <w:sz w:val="28"/>
          <w:szCs w:val="28"/>
        </w:rPr>
        <w:t>наземных стоянок автомобилей – 25.</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территории с застройкой жилыми домами с придомовыми (приквартирными) участками (одно-, двухквартирными и многоквартирными блокированными и секционными) стоянки автомобилей следует размещать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пределах отведенного участка.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устройстве автостоянок (в том числе пристроенных) в цокольном, подвальном этажах индивидуальных, усадебных, блокированных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секционных домов допускается их проектирование без соблюдения нормативов расчета стоянок автомобилей.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 учетом нормативных требований, для обеспечения легковых автомобилей жителей муниципального округа объектами дорожного сервиса, определено расчетное количество:</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топливораздаточных колонок на АЗС не менее 8 единиц;</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постов на СТО не менее 50 единиц.</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96" w:name="_Toc85173327"/>
      <w:r w:rsidRPr="0042058C">
        <w:rPr>
          <w:rFonts w:ascii="Times New Roman" w:eastAsia="Calibri" w:hAnsi="Times New Roman" w:cs="Times New Roman"/>
          <w:sz w:val="28"/>
          <w:szCs w:val="28"/>
        </w:rPr>
        <w:t>4</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Мероприятия для маломобильных групп населения</w:t>
      </w:r>
      <w:bookmarkEnd w:id="96"/>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bCs/>
          <w:sz w:val="28"/>
          <w:szCs w:val="28"/>
        </w:rPr>
      </w:pPr>
      <w:r w:rsidRPr="0042058C">
        <w:rPr>
          <w:rFonts w:ascii="Times New Roman" w:eastAsia="Calibri" w:hAnsi="Times New Roman" w:cs="Times New Roman"/>
          <w:sz w:val="28"/>
          <w:szCs w:val="28"/>
        </w:rPr>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42058C">
        <w:rPr>
          <w:rFonts w:ascii="Times New Roman" w:eastAsia="Calibri" w:hAnsi="Times New Roman" w:cs="Times New Roman"/>
          <w:sz w:val="28"/>
          <w:szCs w:val="28"/>
          <w:vertAlign w:val="superscript"/>
        </w:rPr>
        <w:footnoteReference w:id="92"/>
      </w:r>
      <w:r w:rsidRPr="0042058C">
        <w:rPr>
          <w:rFonts w:ascii="Times New Roman" w:eastAsia="Calibri" w:hAnsi="Times New Roman" w:cs="Times New Roman"/>
          <w:sz w:val="28"/>
          <w:szCs w:val="28"/>
        </w:rPr>
        <w:t xml:space="preserve">, в том числе устройство: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пешеходных ограждений в местах движения инвалидов, на участках, граничащих с высокими откосами и подпорными стенками;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пандусов и двухуровневых поручней, а также горизонтальных площадок для отдыха – на лестничных сходах;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звуковых устройств для слабовидящих на светофорных объектах;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дорожных знаков и указателей, предупреждающих о движении инвалидов.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Информационное обеспечение пространства для инвалидов и других МГН нацелено на: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обеспечение общей ориентации и навигации в общей структуре муниципального округа, сельских населенных пунктов в его составе –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Донского и др., а также элементов их планировочной структуры – районов (в случае выделения), микрорайонов, кварталов;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предоставление сведений о местоположении объектов, в том числе предназначенных или доступных для инвалидов и других МГН;</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предупреждение о возможных опасностях.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требованиями ГОСТ Р 52131-2019 Средства отображения информации знаковые для инвалидов. Технические требования.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информационных указателей, а также участков повышенной опасности, открытых лестниц, пандусов и т.п.</w:t>
      </w:r>
      <w:r w:rsidRPr="0042058C">
        <w:rPr>
          <w:rFonts w:ascii="Times New Roman" w:eastAsia="Calibri" w:hAnsi="Times New Roman" w:cs="Times New Roman"/>
          <w:sz w:val="28"/>
          <w:szCs w:val="28"/>
          <w:vertAlign w:val="superscript"/>
        </w:rPr>
        <w:footnoteReference w:id="93"/>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Предупреждающие тактильно-контрастные указатели и контрастные полосы должны обустраиваться в соответствии с СП 59.13330.2020 «Доступность зданий и сооружений для маломобильных групп населения»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первой и последней ступенях лестниц (лестничных маршей) должны наноситься контрастные противоскользящие полосы</w:t>
      </w:r>
      <w:r w:rsidRPr="0042058C">
        <w:rPr>
          <w:rFonts w:ascii="Times New Roman" w:eastAsia="Calibri" w:hAnsi="Times New Roman" w:cs="Times New Roman"/>
          <w:sz w:val="28"/>
          <w:szCs w:val="28"/>
          <w:vertAlign w:val="superscript"/>
        </w:rPr>
        <w:footnoteReference w:id="94"/>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Любая звуковая информация, в том числе объявления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пешеходных и транспортных коммуникациях для инвалидов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условиях плохой видимости (дождь, туман, снегопад).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адаптации объектов в рамках «разумного приспособления»</w:t>
      </w:r>
      <w:r w:rsidRPr="0042058C">
        <w:rPr>
          <w:rFonts w:ascii="Times New Roman" w:eastAsia="Calibri" w:hAnsi="Times New Roman" w:cs="Times New Roman"/>
          <w:sz w:val="28"/>
          <w:szCs w:val="28"/>
          <w:vertAlign w:val="superscript"/>
        </w:rPr>
        <w:footnoteReference w:id="95"/>
      </w:r>
      <w:r w:rsidRPr="0042058C">
        <w:rPr>
          <w:rFonts w:ascii="Times New Roman" w:eastAsia="Calibri" w:hAnsi="Times New Roman" w:cs="Times New Roman"/>
          <w:sz w:val="28"/>
          <w:szCs w:val="28"/>
        </w:rPr>
        <w:t>.</w:t>
      </w:r>
    </w:p>
    <w:p w:rsidR="0042058C" w:rsidRPr="0042058C" w:rsidRDefault="0042058C" w:rsidP="00251368">
      <w:pPr>
        <w:spacing w:after="0"/>
        <w:ind w:firstLine="709"/>
        <w:outlineLvl w:val="1"/>
        <w:rPr>
          <w:rFonts w:ascii="Times New Roman" w:eastAsia="Calibri" w:hAnsi="Times New Roman" w:cs="Times New Roman"/>
          <w:sz w:val="28"/>
          <w:szCs w:val="28"/>
          <w:lang w:val="x-none"/>
        </w:rPr>
      </w:pPr>
      <w:bookmarkStart w:id="97" w:name="_Toc63848316"/>
      <w:bookmarkStart w:id="98" w:name="_Toc65462987"/>
      <w:bookmarkStart w:id="99" w:name="_Toc85173328"/>
      <w:r w:rsidRPr="0042058C">
        <w:rPr>
          <w:rFonts w:ascii="Times New Roman" w:eastAsia="Calibri" w:hAnsi="Times New Roman" w:cs="Times New Roman"/>
          <w:sz w:val="28"/>
          <w:szCs w:val="28"/>
        </w:rPr>
        <w:t xml:space="preserve">6. </w:t>
      </w:r>
      <w:bookmarkEnd w:id="97"/>
      <w:bookmarkEnd w:id="98"/>
      <w:bookmarkEnd w:id="99"/>
      <w:r w:rsidRPr="0042058C">
        <w:rPr>
          <w:rFonts w:ascii="Times New Roman" w:eastAsia="Calibri" w:hAnsi="Times New Roman" w:cs="Times New Roman"/>
          <w:sz w:val="28"/>
          <w:szCs w:val="28"/>
          <w:lang w:val="x-none"/>
        </w:rPr>
        <w:t xml:space="preserve">Инженерная подготовка и благоустройство территории включает ряд вопросов, касающихся организации поверхностного стока, защиты территорий от затопления и подтопления, </w:t>
      </w:r>
      <w:r w:rsidRPr="0042058C">
        <w:rPr>
          <w:rFonts w:ascii="Times New Roman" w:eastAsia="Calibri" w:hAnsi="Times New Roman" w:cs="Times New Roman"/>
          <w:sz w:val="28"/>
          <w:szCs w:val="28"/>
        </w:rPr>
        <w:t>инженерной защиты от эрозии</w:t>
      </w:r>
      <w:r w:rsidRPr="0042058C">
        <w:rPr>
          <w:rFonts w:ascii="Times New Roman" w:eastAsia="Calibri" w:hAnsi="Times New Roman" w:cs="Times New Roman"/>
          <w:sz w:val="28"/>
          <w:szCs w:val="28"/>
          <w:lang w:val="x-none"/>
        </w:rPr>
        <w:t>, рекультивации нарушенных территорий.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целях общего и санитарного благоустройства территории муниципального округа в соответствии с принятыми архитектурно-планировочными решениями по инженерной подготовке территории предлагается выполнение комплекса мероприятий:</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вертикальная планировка и организация поверхностного стока;</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берегоукрепительные мероприятия;</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инженерная защита от эрозии;</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защита от затопления паводковыми водами;</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защита от подтопления;</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рекультивация нарушенных территорий.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Все перечисленные мероприятия разработаны в объеме, необходимом для инженерного обоснования принятого планировочного решения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инженерной подготовке территории и подлежат уточнению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последующих стадиях проектирования после выполнения детальных инженерно-геологических, гидрогеологических и гидрологических изысканий.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реализации мероприятий по инженерной подготовке и защите территорий населенных пунктов Труновского муниципального округа необходим «Рабочий проект по инженерной подготовке и защите территорий Труновского муниципального округа», выполненный на материалах детальных инженерных изысканий по метеорологии, геологии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гидрогеологии, гидрологии, антропогенным процессам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др., с использованием современных топографических съемок.</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Организация стока поверхностных и грунтовых вод. В настоящее время отвод поверхностных вод на территории проектирования осуществляется локальной сетью канав, которая имеет недостаточную пропускную способность в связи: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 малыми размерами сечения;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отсутствием, на отдельных участках, необходимых продольных уклонов;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засоренностью и другими факторами.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Значительные территории населенных пунктов вообще лишены водоотводящих сетей, куда относятся замкнутые и полузамкнутые понижения в рельефе.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Имеющиеся выпуски в водоприемники устроены без очистки, что загрязняет водные бассейны рек Ставропольского края, приводит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антисанитарным условиям на территории проектирования.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Экологическую ситуацию в населенных пунктах усугубляет поступление поверхностных вод, часто загрязненных, со стороны вышележащих территорий. Для этого предлагается организацию поверхностного стока на территориях населенных пунктов, для охраны водных ресурсов подземных и грунтовых вод, решать с отведением воды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от снеготаяния, дождевых стоков и от грунтовых дренажных вод, ливнестоками, на очистные сооружения, перед их сбросом в водоприемники. Проектом также осуществляется организация поверхностного стока проведением вертикальной планировки и устройством открытых и закрытых ливнестоков.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Вертикальная планировка территории. В основу схемы вертикальной планировки территории закладываются следующие принципы: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обеспечение водоотвода с застроенных территорий поверхностным способом;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максимальное сохранение существующих отметок рельефа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по проезжим частям улиц при условии наличия по ним допустимых продольных уклонов, обеспечивающих нормальное движение транспорта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пешеходов;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обеспечение минимальных объёмов работ в строительстве.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Намечаемая проектом планировка сетей магистральных и жилых улиц должна быть решена, в основном, применительно к существующему рельефу, за исключением участков с сильно пересечённым рельефом, требующих дополнительной подсыпки или срезки для соблюдения на проездах допустимых уклонов.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 дорогам населенных пунктов поперечный профиль принимается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кюветами, обеспечивающими водоотвод с проезжей части в ливневую канализацию.</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населенных пунктов Труновского муниципального округа устройство открытой и закрытой сети ливнестоков с территорий застройки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очистными сооружениями ливневых вод, перед их сбросом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поверхностные водоёмы и водотоки, необходимо для охраны поверхностных и подземных или грунтовых вод. Это связано: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во-первых, с тем, что застроенные территории, и вновь застраиваемые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транспортными магистралями, являются водосборными площадями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инфильтрацией загрязнённых поверхностных вод, которые затем грунтовым путём сбрасываются в водоёмы или водотоки;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во-вторых, неорганизованные поверхностные воды создают поверхностную эрозию почвогрунтов и оврагообразование;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в-третьих, система ливнестоков необходима для перехвата и отведения различных вод от хозяйственной деятельности.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Закрытая ливневая канализация предлагается в зоне проектируемой капитальной и реконструируемой застройки. Открытая водосточная сеть предусматривается на территориях, сложившейся старой застройки вдоль улиц, проездов и на территориях зеленых насаждений: парка и зоны отдыха, а также на окраинах планируемой индивидуальной застройки.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Предлагаемая ливнесточная сеть, совмещенная с дренажом носит осушительный характер с обеспечением необходимых норм осушения для различных по назначению и застройке сельских территорий.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Инженерная защита от подтопления и понижение уровня грунтовых вод. Одним из наиболее опасных процессов, наносящих ущерб населённым пунктам, является процесс подтопления.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Затапливаются погреба и подвалы, ухудшается состояние подземных коммуникаций, санитарно-бытовые условия и санитарно-эпидемиологическая обстановка. К тому же, подземные воды агрессивны,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воздействие на фундаменты и другие заглублённые части сооружений приводит к их разрушению, нанося значительный материальный ущерб.</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Основной причиной подтопления населённых пунктов является нарушение естественного стока поверхностных вод, заиление и засорение рек и ручьев, протекающих по населённым пунктам. По мере уплотнения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расширения селитебной и промышленной застройки, насыщения территории водонесущими коммуникациями, процесс подтопления может только усугубляться.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геологического обоснования проектов защитных мероприятий против подтопления изысканиями следует решить следующие задачи: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установить площадь подтопления и выявить его причины;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районировать область инфильтрации в плане и разрезе с целью выбора типа дренажа;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выявить величину инфильтрационного питания подземных вод, коэффициенты фильтрации, гравитационной и упругой водоотдачи основных водоносных горизонтов и коэффициент фильтрации водоупорных слоев;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составить баланс подземных вод, определить приходные </w:t>
      </w:r>
      <w:r w:rsidR="00251368">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расходные статьи, необходимые для аналитического расчета дренажа;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охарактеризовать химический состав и минерализацию подземных вод в области влияния дренажа.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защите от подтопления, сельских населённых пунктов необходимо принимать во внимание, что при строительстве дренажных систем весьма важным является выбор способа дренирования.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создании дренажных систем в сельских населённых пунктах рекомендуется:</w:t>
      </w:r>
    </w:p>
    <w:p w:rsidR="0042058C" w:rsidRPr="0042058C" w:rsidRDefault="0042058C" w:rsidP="0042058C">
      <w:pPr>
        <w:tabs>
          <w:tab w:val="left" w:pos="851"/>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максимально использовать существующий дренаж после его реконструкции; </w:t>
      </w:r>
    </w:p>
    <w:p w:rsidR="0042058C" w:rsidRPr="0042058C" w:rsidRDefault="0042058C" w:rsidP="0042058C">
      <w:pPr>
        <w:tabs>
          <w:tab w:val="left" w:pos="851"/>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использовать горизонтальный закрытый дренаж как основной вид дренажа;</w:t>
      </w:r>
    </w:p>
    <w:p w:rsidR="0042058C" w:rsidRPr="0042058C" w:rsidRDefault="0042058C" w:rsidP="0042058C">
      <w:pPr>
        <w:tabs>
          <w:tab w:val="left" w:pos="851"/>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лучевой дренаж использовать только как локальный для отдельных зданий и сооружений.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выборе защитных мероприятий предпочтение отдаётся тем, которые обеспечивают: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предотвращение, устранение или снижение до допустимого уровня отрицательного воздействия факторов подтопления;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возможность преимущественного применения активных методов защиты;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сохранение заповедных зон, ландшафтов, исторических памятников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т.д.;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сочетание с мероприятиями по охране окружающей среды.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Следует отметить, что дренажный сток может быть повсеместно загрязнён. Необходимо предусмотреть строительство сооружений для очистки дренажных вод с целью доведения их качества до соответствующих норм. Необходимо предусмотреть использование современного высокоэффективного оборудования для электрохимической обработки воды в сочетании с ультрафильтрацией, сорбцией и обеззараживанием жёстким ультрафиолетом на фоне действия добавок пергидроля. Очищенный дренажный сток предлагается сбрасывать в поверхностные водотоки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водоёмы.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всех подтопленных и потенциально подтапливаемых территориях необходимо организовать наблюдательную режимную сеть.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населенных пунктах Труновского муниципального округа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отдельных пониженных участках, в поймах, надпойменных террас реки Егорлык, Ташла и др., и вдоль русел балок-оврагов наблюдаются колебания уровня грунтовых вод в пределах от 0,5 м до 2 м от поверхности,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 в условиях активного снеготаяния и обильных дождей уровни грунтовых вод резко подымаются, что приводит к значительному подтоплению этих территорий.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Следует отметить, что в период интенсивного таяния снегов, во время прохождения паводка и выпадения осадков замечены подземные воды типа, «верховодка», имеющие локальное распространение и встречающиеся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глубине до 1 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Устранение подтопления решается следующими способами или методами: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засыпка понижений и заболоченностей;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расчистка, углубление и спрямление русел водотоков;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зданий и сооружений с изучением грунтовых потоков;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прокладка закрытых ливневых коллекторов с дренажными системами, водоприемником вод которых является городская ливневая канализация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очистными сооружениями ливнестоков;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прокладка открытых водостоков.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Намечаемая схемой организация стока поверхностных вод окажет благоприятное влияние на режим грунтовых вод. Наряду с этим предлагается устройство сопутствующих дренажей вдоль всех инженерных коммуникаций на подтопленных и потенциально подтопляемых территориях.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Затопление речными водами реки Егорлык и его притоков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рассматриваемых территориях населенных пунктов происходит практически ежегодно и резко ухудшает условия проживания людей. Для решения социального аспекта проблемы необходимо разработать принципиально новую концепцию ведения водного хозяйства округа.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качестве мер борьбы с затоплением предлагается:</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очистка местной гидрографической сети и улучшение ее проточности;</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облицовка магистральных межхозяйственных и распределительных каналов;</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создание в речных долинах, у водоемов инфильтрационных береговых водозаборов с искусственным восполнением;</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сочетание береговых водозаборов с эксплуатацией подземных вод более глубоких водоносных горизонтов.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Подсыпка предлагается в настоящем проекте только для участков новой застройки, на территориях рекреационного назначения и на участках очистных сооружений ливневых стоков.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сооружений защиты (дамбы, подпорные стенки и др.) превышение гребня над расчетным горизонтом высоких вод следует устанавливать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зависимости от класса сооружений согласно СП 28.13330.2017 и СНиП 58.13330.2019.</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градостроительном освоении пойменных территорий необходимо руководствоваться двумя принципами, которые основываются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особенностях пропуска паводковых расходов воды сечениями поймы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русла, и эрозионно-аккумулятивными процессами на этих территорий, которые в конечном итоге влияют на условия береговой защиты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от затопления или их разрушения.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 первому принципу градостроительному освоению подлежит только внетранзитная часть затопляемой пойменной территории, которая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не является живым сечением руслопойменного потока и не участвует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пропуске паводочных расходов воды.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Внетранзитная часть поймы – зона пассивного затопления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аккумуляции паводочных вод, которая не включается в активную руслоформирующую деятельность. Граница транзитной и внетранзитной частей определяется гидравлическими расчетами пропускной способности русел при соответствующих расчетных горизонтах и расходах воды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анализом гидрографии пойменных территорий. Первый принцип освоения пойменных территорий обеспечивает их устойчивость от эрозии в пределах не осваиваемой под строительство ее транзитной части, т.к. сохраняются естественные сбалансированные эрозионно-аккумулятивные процессы.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Выявленная гидравлическими расчетами внетранзитная часть пойменной территории используется под градостроительное освоение методом подсыпки. Базисом эрозии при соблюдении данного принципа освоения пойменных территорий являются отметки поймы. Это очень важно для выбора отметок оснований или фундаментов для береговой гидротехнической защиты.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По второму принципу градостроительному освоению подлежит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не только внетранзитная часть пойменной территории, но и ее транзитная часть, которая является живым сечением руслопойменного потока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участвует в пропуске паводочных расходов воды.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этих условиях освоения пойменных территорий необходимо учитывать сложные руслообразующие процессы в русле и на пойме, формируемые при сжатии водооградительными сооружениями. При освоении пойменных территорий по этому принципу резко нарушаются естественные сбалансированные процессы водной эрозии, и аккумуляции наносов на оставшейся части транзитной поймы. Начинает преобладать односторонняя водная эрозия, приводящая к нарушению устойчивости в этой части пойменного массива, который размывается и, в итоге, вместо сложного руслопойменного сечения образуется русло с простой формой сечения. Здесь базисом эрозии являются отметки основного русла, а не поймы.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разработке мероприятий по инженерной подготовке данных территорий, при решении конструкций водооградительных сооружений следует учитывать эрозионный процесс почвогрунтов и наносов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оставшейся от освоения транзитной части поймы и увеличивать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глубину эрозии береговые водооградительные сооружения.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противном случае через несколько паводков (иногда и за один паводок) они будут подмыты и разрушены. Следовательно, при разработке мероприятий по инженерной подготовке транзитных пойменных территорий необходимо своевременно использовать почвогрунты из призмы размыва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подсыпку осваиваемых территорий или в зеленом строительстве.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Оба принципа освоения пойменных территорий определяют также способы трассировки береговых водооградительных сооружений и дамб обвалования, которые необходимо проводить в границах внетранзитной части поймы, не вызывая стеснения живого сечения руслопойменных потоков.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Благоустройство овражных территорий и борьба с оврагообразованием. В границах территории Труновского муниципального округа сформирована система оврагов, которые в своих вершинах и отвершках имеют тенденцию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к развитию.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Так как овраги являются естественными дренами и обеспечивают гидрорежим грунтовых вод, проектом исключается их полная засыпка.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Борьба с оврагообразованием намечается путем ликвидации условий, способствующих росту существующих и образование новых оврагов, ограждение склонов от возникновения очагов размыва и эрозии.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Предлагаются следующие мероприятия:</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засыпка грунтом верховьев и отвершков развивающихся оврагов;</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укрепление склонов уполаживанием, озеленением;</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в местах, где застройка подходит близко к бровке оврагов или вызвана необходимость прокладки дорог предлагается тип укрепления – подпорная стена;</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организация стока поверхностных вод – перехват водотоков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по бровкам и прокладка по тальвегам открытых и закрытых ливнедренажных водостоков;</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исключение перекопки овражных склонов.</w:t>
      </w:r>
    </w:p>
    <w:p w:rsidR="0042058C" w:rsidRPr="0042058C" w:rsidRDefault="0042058C" w:rsidP="0017486A">
      <w:pPr>
        <w:spacing w:after="0"/>
        <w:ind w:firstLine="708"/>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Благоустройство овражных территорий намечается путем использования для нужд населенных пунктов этих территорий под зону отдыха, зеленых коридоров, дорожных проездов, спортивных целей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организации водоемов.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Инженерная защита от просадок и рекомендации по строительству</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 на слабонесущих грунтах. На территории </w:t>
      </w:r>
      <w:r w:rsidRPr="0042058C">
        <w:rPr>
          <w:rFonts w:ascii="Times New Roman" w:eastAsia="Times New Roman" w:hAnsi="Times New Roman" w:cs="Times New Roman"/>
          <w:sz w:val="28"/>
          <w:szCs w:val="28"/>
          <w:lang w:eastAsia="ru-RU"/>
        </w:rPr>
        <w:t>муниципального</w:t>
      </w:r>
      <w:r w:rsidRPr="0042058C">
        <w:rPr>
          <w:rFonts w:ascii="Times New Roman" w:eastAsia="Calibri" w:hAnsi="Times New Roman" w:cs="Times New Roman"/>
          <w:sz w:val="28"/>
          <w:szCs w:val="28"/>
        </w:rPr>
        <w:t xml:space="preserve"> округа просадочные лёссовые грунты занимают значительные площади.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основном, территория характеризуется первым типом грунтовых условий по просадочности.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Однако при замачивании и значительных нагрузках от сооружений величина просадки может достигать значительных величин.</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Следует заметить, что с замачиванием просадочных грунтов связано</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 их видоизменение и, по мере водонасыщения, они превращаются в грунты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иными свойствами.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Лишаясь просадочных свойств при увеличении влажности, они приобретают другие свойства: становятся сильно сжимаемыми, склонными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 разжижению при динамических нагрузках. Также надо иметь в виду, что наряду с просадочными деформациями, протекающими довольно быстро, следует принимать во внимание и учитывать возможные постпросадочные деформации, длящиеся значительно дольше.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необходимости строительства на просадочных грунтах просадочные свойства в пределах деформируемой толщи должны быть или устранены, или грунты должны быть прорезаны свайными фундаментами.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Необходимо также учитывать особенности проектируемого сооружения и его воздействие на лёссовое основание (мокрый технологический режим, высокие нагрузки, температурные поля и т.п.), чувствительность сооружения к возможным деформациям основания при уплотнении его замачиванием, подводным взрывом, гидровиброуплотнении, химическом закреплении, термическом упрочнении.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защиты от набухания необходимы мероприятия, обеспечивающие статическую устойчивость и эксплуатационную пригодность сооружений.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 ним относятся:</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 xml:space="preserve">подготовка основания (замена грунта на не набухающий, уплотнение, засыпка, замачивание); </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применение глубоких фундаментов;</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конструктивные и водозащитные мероприятия, реже – электроосмотические методы стабилизации набухающих грунтов.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инженерно-геологических изысканиях и проектировании объектов следует руководствоваться соответствующими строительными нормами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правилами (СП), инструкциями и положениями по строительству в этих условиях.</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сочетании всех неблагоприятных физико-геологических факторов рекомендуется предусматривать устройство искусственных оснований (трамбовка котлованов под фундаменты, замена грунтов, закрепление грунтов химико-механическими способами и т.п.).</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общее благоустройство территории входят нарушенные территории, отработанные карьеры глины и песка. Эти изрытые территории подлежат рекультивации путем планировки, засыпки или организации водоема.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Возможное развитие оползней на рассматриваемой территории определяет необходимость инженерной подготовки вновь осваиваемых территорий, защиты и укрепления, застроенных оползневых и ополз неопасных склонов в пределах населённых пунктов и других объектов.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 состав комплекса противооползневых мероприятий рекомендуется включать профилактические и ограничительные меры (вне зависимости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масштаба и типа оползней, класса сооружения): регулирование поверхностного стока устройством открытых и закрытых водоотводящих лотков, агролесомелиорирование и т.д.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Инженерная защита от эрозии. Территория округа подвержена как овражной, так и плоскостной эрозии.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Размыв и смыв грунтов на отдельных участках достигает огромных размеров. Водная эрозия наиболее интенсивна в период весеннего снеготаяния и во время ливней. Формирование эрозионных форм начинается со склонового смыва, переходящего в ливневой размыв с созданием эрозионных борозд.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правильного выбора мер борьбы с овражной эрозией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водозадерживающих валов;</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водоотводящих валов и нагорных канав; </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запруд и плотин разного рода;</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водосборных и водоотводящих сооружений.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Как меры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Особое значение для территории округа имеет организация инженерной подготовки в зонах отдыха.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площадках длительного сезонного отдыха (детские лагеря отдыха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дачи для школьников) предусматривается устройство закрытой ливневой сети в увязке с вертикальной планировкой.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площадках кратковременного отдыха (отдых у воды, турбазы) намечается открытая дренажно-ливневая сеть (кюветы, канавы, на участках</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 с уклонами поверхности более 0,03 – бетонные лотки.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очистки поверхностного стока на устьевых участках водотоков перед выпуском в водоем предусматриваются локальные очистные сооружения дождевой канализации.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территориях рыболовно-охотничьих баз намечается устройство систем водоотвода и понижения уровня грунтовых вод.</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 территориях зон отдыха, которые отводятся под газоны, намечается вертикальная планировка территории с окультуриванием поверхности для создания почвенного слоя.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Благоустройство водоемов и регулирование русел водотоков. В целях благоустройства и улучшения санитарного состояния водоемов в зонах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местах отдыха (вблизи населенных пунктов, с численностью населения более 300 чел.) проектом предлагаются следующие мероприятия:</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расчистка ложа водохранилищ на реках от скопившегося мусора, ила;</w:t>
      </w:r>
    </w:p>
    <w:p w:rsidR="0042058C" w:rsidRPr="0042058C" w:rsidRDefault="0042058C" w:rsidP="0017486A">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планировка берегов и укрепление</w:t>
      </w:r>
      <w:r w:rsidR="0017486A">
        <w:rPr>
          <w:rFonts w:ascii="Times New Roman" w:eastAsia="Calibri" w:hAnsi="Times New Roman" w:cs="Times New Roman"/>
          <w:sz w:val="28"/>
          <w:szCs w:val="28"/>
        </w:rPr>
        <w:t xml:space="preserve"> их растительностью (одерновка, </w:t>
      </w:r>
      <w:r w:rsidRPr="0042058C">
        <w:rPr>
          <w:rFonts w:ascii="Times New Roman" w:eastAsia="Calibri" w:hAnsi="Times New Roman" w:cs="Times New Roman"/>
          <w:sz w:val="28"/>
          <w:szCs w:val="28"/>
        </w:rPr>
        <w:t>посев трав, посадка кустарника);</w:t>
      </w:r>
    </w:p>
    <w:p w:rsidR="0042058C" w:rsidRPr="0042058C" w:rsidRDefault="0042058C" w:rsidP="0017486A">
      <w:pPr>
        <w:tabs>
          <w:tab w:val="left" w:pos="993"/>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проведение мероприятий по благоустройству прилегающей к водоемам территории вырубка сухостоя, окашивание берегов во избежание зарастания болотной растительностью;</w:t>
      </w:r>
    </w:p>
    <w:p w:rsidR="0042058C" w:rsidRPr="0042058C" w:rsidRDefault="0042058C" w:rsidP="0042058C">
      <w:pPr>
        <w:tabs>
          <w:tab w:val="left" w:pos="993"/>
        </w:tabs>
        <w:spacing w:after="0"/>
        <w:ind w:left="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благоустройство дорожно-тропиночной сети.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проектируемых зонах и местах отдыха на реках и прудах необходима организация и благоустройство пляжей.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Рельеф дна водоема в месте купания должен углубляться постепенно, не иметь уступов, дно должно быть плотное, свободное от тины, водорослей, коряг, камней. Пляж и берег в районе купания должны быть отлогими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уклонами 2-3% до глубины 1,5 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Состав мероприятий по благоустройству и организации пляжа входит расчистка береговой полосы от кустарниковой растительности, планировка берега и подсыпка песчаной подушки толщиной 0,3 м. Подсыпка предусматривается в пределах прибрежной полосы на ширину от 3 до 5 м.</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Таким образом, инженерная подготовка территорий как комплекс работ по созданию условий для проведения основных работ по благоустройству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озеленению, зависит от размеров объекта, его значимости, выполняемых функций, а также выполняется с учетом влияния природных факторов среды, степени антропогенных нагрузок. Следовательно, состав и содержание работ по инженерной подготовке территорий может (и должен) быть разнообразным.</w:t>
      </w:r>
    </w:p>
    <w:p w:rsidR="0042058C" w:rsidRPr="0042058C" w:rsidRDefault="0042058C" w:rsidP="0042058C">
      <w:pPr>
        <w:spacing w:after="0"/>
        <w:ind w:firstLine="708"/>
        <w:jc w:val="both"/>
        <w:outlineLvl w:val="1"/>
        <w:rPr>
          <w:rFonts w:ascii="Times New Roman" w:eastAsia="Calibri" w:hAnsi="Times New Roman" w:cs="Times New Roman"/>
          <w:sz w:val="28"/>
          <w:szCs w:val="28"/>
        </w:rPr>
      </w:pPr>
      <w:bookmarkStart w:id="100" w:name="_Toc85173329"/>
      <w:r w:rsidRPr="0042058C">
        <w:rPr>
          <w:rFonts w:ascii="Times New Roman" w:eastAsia="Calibri" w:hAnsi="Times New Roman" w:cs="Times New Roman"/>
          <w:sz w:val="28"/>
          <w:szCs w:val="28"/>
        </w:rPr>
        <w:t>7. Развитие инженерной инфраструктуры</w:t>
      </w:r>
      <w:bookmarkEnd w:id="100"/>
      <w:r w:rsidRPr="0042058C">
        <w:rPr>
          <w:rFonts w:ascii="Times New Roman" w:eastAsia="Calibri" w:hAnsi="Times New Roman" w:cs="Times New Roman"/>
          <w:sz w:val="28"/>
          <w:szCs w:val="28"/>
        </w:rPr>
        <w:t>.</w:t>
      </w:r>
    </w:p>
    <w:p w:rsidR="0042058C" w:rsidRPr="0042058C" w:rsidRDefault="0042058C" w:rsidP="0042058C">
      <w:pPr>
        <w:spacing w:after="0"/>
        <w:ind w:firstLine="708"/>
        <w:jc w:val="both"/>
        <w:outlineLvl w:val="2"/>
        <w:rPr>
          <w:rFonts w:ascii="Times New Roman" w:eastAsia="Calibri" w:hAnsi="Times New Roman" w:cs="Times New Roman"/>
          <w:sz w:val="28"/>
          <w:szCs w:val="28"/>
        </w:rPr>
      </w:pPr>
      <w:bookmarkStart w:id="101" w:name="_Toc85173330"/>
      <w:r w:rsidRPr="0042058C">
        <w:rPr>
          <w:rFonts w:ascii="Times New Roman" w:eastAsia="Calibri" w:hAnsi="Times New Roman" w:cs="Times New Roman"/>
          <w:sz w:val="28"/>
          <w:szCs w:val="28"/>
        </w:rPr>
        <w:t>1</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Водоснабжение</w:t>
      </w:r>
      <w:bookmarkEnd w:id="101"/>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Одной из наиболее важных задач развития округа является модернизация систем коммунальной инфраструктуры и обеспечение всех жителей качественной питьевой водой и системой водоотведения. Этой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же системой обеспечиваются расходы воды на тушение пожаров.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30.13330.2020 «Внутренний водопровод</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 и канализация зданий. Актуализированная редакция СНиП 2.04.01-85*».</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Ниже представлено удельное водопотребление для хозяйственно-питьевых нужд населению.</w:t>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2</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Удельное среднесуточное (за год) водопотребление на хозяйственно-питьевые нужды населению</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4343"/>
        <w:gridCol w:w="4996"/>
      </w:tblGrid>
      <w:tr w:rsidR="0042058C" w:rsidRPr="0042058C" w:rsidTr="0042058C">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Степень благоустройства районов жилой застройки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Удельное хозяйственно-питьевое водопотребление в населенных пунктах на одного жителя среднесуточное (за год), л/сут.</w:t>
            </w:r>
          </w:p>
        </w:tc>
      </w:tr>
      <w:tr w:rsidR="0042058C" w:rsidRPr="0042058C" w:rsidTr="0042058C">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Застройка зданиями, оборудованными внутренним водопроводом и канализацией, с ванными и местными водонагревателями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140-190</w:t>
            </w:r>
          </w:p>
        </w:tc>
      </w:tr>
      <w:tr w:rsidR="0042058C" w:rsidRPr="0042058C" w:rsidTr="0042058C">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То же, с централизованным горячим водоснабжением</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Calibri" w:hAnsi="Times New Roman" w:cs="Times New Roman"/>
                <w:spacing w:val="2"/>
                <w:sz w:val="20"/>
                <w:szCs w:val="20"/>
              </w:rPr>
            </w:pPr>
            <w:r w:rsidRPr="0042058C">
              <w:rPr>
                <w:rFonts w:ascii="Times New Roman" w:eastAsia="Calibri" w:hAnsi="Times New Roman" w:cs="Times New Roman"/>
                <w:spacing w:val="2"/>
                <w:sz w:val="20"/>
                <w:szCs w:val="20"/>
              </w:rPr>
              <w:t>195-220</w:t>
            </w:r>
          </w:p>
        </w:tc>
      </w:tr>
    </w:tbl>
    <w:p w:rsidR="0042058C" w:rsidRPr="0042058C" w:rsidRDefault="0042058C" w:rsidP="0042058C">
      <w:pPr>
        <w:spacing w:after="0"/>
        <w:ind w:firstLine="709"/>
        <w:jc w:val="both"/>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Существующая и планируемая застройка в сельских поселениях Труновского муниципального округа будет представлена индивидуальной жилой зоной и смешанной малоэтажной многоквартирной застройкой, которая обеспечена в основном индивидуальными системами нагрева.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учетом сложившейся застройки, которая имеет небольшое число домов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централизованным горячим водоснабжением, принимаем, что вся жилая застройка Труновского муниципального округа обеспечена индивидуальным водоснабжением на первую очередь и расчетный срок. Согласно ранее приведенной таблице принимаем удельное водопотребление в 165 л/сут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человека.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Удельное водопотребление также включает расходы воды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на хозяйственно-питьевые и бытовые нужды в общественных зданиях, </w:t>
      </w:r>
      <w:r w:rsidR="0017486A">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30.13330.2020 «Внутренний водопровод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канализация зданий».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w:t>
      </w:r>
      <w:r w:rsidR="00E13FE0">
        <w:rPr>
          <w:rFonts w:ascii="Times New Roman" w:eastAsia="Calibri" w:hAnsi="Times New Roman" w:cs="Times New Roman"/>
          <w:sz w:val="28"/>
          <w:szCs w:val="28"/>
        </w:rPr>
        <w:t xml:space="preserve">тьевые нужды населенного пункта,           </w:t>
      </w:r>
      <w:r w:rsidRPr="0042058C">
        <w:rPr>
          <w:rFonts w:ascii="Times New Roman" w:eastAsia="Calibri" w:hAnsi="Times New Roman" w:cs="Times New Roman"/>
          <w:sz w:val="28"/>
          <w:szCs w:val="28"/>
        </w:rPr>
        <w:t xml:space="preserve"> в соответствии с примечанием 2 к таблице 1 СП 31.13330.2012.</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Также в соответствии с п. 5.3., таблицей 3 СП 31.13330.2012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от климатических условий, мощности источника водоснабжения, степени благоустройства населенных пунктов и других местных условий. Количество поливок следует принимать 1-2 в сутки в зависимости от климатических условий. Для Труновского муниципального округа принимаем норму расхода для полива в 70 л/сутки с учетом 1 поливки в сутки.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Все полученные расчеты расхода воды в сутки должны учитываться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учетом коэффициента суточной неравномерности, в связи с разным укладом жизни населения, режима работы предприятий и т.д. В соответствии с этим, для Труновского МО определен максимальный коэффициент суточной неравномерности – 1,2. Минимальный коэффициент суточной неравномерности – 0,8.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Расчет расхода воды необходимой для муниципального округа,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расчётный срок представлена в таблице ниже.</w:t>
      </w:r>
    </w:p>
    <w:p w:rsidR="0042058C" w:rsidRPr="0042058C" w:rsidRDefault="0042058C" w:rsidP="0042058C">
      <w:pPr>
        <w:keepNext/>
        <w:spacing w:after="0" w:line="240" w:lineRule="auto"/>
        <w:jc w:val="both"/>
        <w:rPr>
          <w:rFonts w:ascii="Times New Roman" w:eastAsia="Calibri" w:hAnsi="Times New Roman" w:cs="Times New Roman"/>
          <w:b/>
          <w:bCs/>
          <w:color w:val="262626"/>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 xml:space="preserve">Таблица </w:t>
      </w:r>
      <w:r w:rsidR="00F62636">
        <w:rPr>
          <w:rFonts w:ascii="Times New Roman" w:eastAsia="Calibri" w:hAnsi="Times New Roman" w:cs="Times New Roman"/>
          <w:bCs/>
          <w:noProof/>
          <w:sz w:val="28"/>
          <w:szCs w:val="28"/>
          <w:lang w:eastAsia="ru-RU"/>
        </w:rPr>
        <w:t>10</w:t>
      </w:r>
      <w:r w:rsidR="00E86957">
        <w:rPr>
          <w:rFonts w:ascii="Times New Roman" w:eastAsia="Calibri" w:hAnsi="Times New Roman" w:cs="Times New Roman"/>
          <w:bCs/>
          <w:noProof/>
          <w:sz w:val="28"/>
          <w:szCs w:val="28"/>
          <w:lang w:eastAsia="ru-RU"/>
        </w:rPr>
        <w:t>3</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r w:rsidRPr="0042058C">
        <w:rPr>
          <w:rFonts w:ascii="Times New Roman" w:eastAsia="Calibri" w:hAnsi="Times New Roman" w:cs="Times New Roman"/>
          <w:bCs/>
          <w:sz w:val="28"/>
          <w:szCs w:val="28"/>
          <w:lang w:eastAsia="ru-RU"/>
        </w:rPr>
        <w:t>Среднесуточный расход питьевой воды по территориальным отделам Труновского муниципального округа на расчетный срок (2041) при реализации проекта генерального плана*</w:t>
      </w:r>
    </w:p>
    <w:p w:rsidR="0042058C" w:rsidRPr="0042058C" w:rsidRDefault="0042058C" w:rsidP="0042058C">
      <w:pPr>
        <w:keepNext/>
        <w:spacing w:after="0" w:line="240" w:lineRule="auto"/>
        <w:jc w:val="center"/>
        <w:rPr>
          <w:rFonts w:ascii="Times New Roman" w:eastAsia="Calibri" w:hAnsi="Times New Roman" w:cs="Times New Roman"/>
          <w:bCs/>
          <w:sz w:val="28"/>
          <w:szCs w:val="28"/>
          <w:lang w:eastAsia="ru-RU"/>
        </w:rPr>
      </w:pPr>
    </w:p>
    <w:tbl>
      <w:tblPr>
        <w:tblW w:w="0" w:type="auto"/>
        <w:tblLook w:val="04A0" w:firstRow="1" w:lastRow="0" w:firstColumn="1" w:lastColumn="0" w:noHBand="0" w:noVBand="1"/>
      </w:tblPr>
      <w:tblGrid>
        <w:gridCol w:w="1673"/>
        <w:gridCol w:w="1351"/>
        <w:gridCol w:w="1858"/>
        <w:gridCol w:w="1733"/>
        <w:gridCol w:w="2174"/>
        <w:gridCol w:w="781"/>
      </w:tblGrid>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Наименование потребителей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Численность населения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Норма водопотребления, л/сут. на человека за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Среднесуточный расход, тыс. м</w:t>
            </w:r>
            <w:r w:rsidRPr="0042058C">
              <w:rPr>
                <w:rFonts w:ascii="Times New Roman" w:eastAsia="Calibri" w:hAnsi="Times New Roman" w:cs="Times New Roman"/>
                <w:bCs/>
                <w:color w:val="000000"/>
                <w:sz w:val="20"/>
                <w:szCs w:val="20"/>
                <w:vertAlign w:val="superscript"/>
              </w:rPr>
              <w:t>3</w:t>
            </w:r>
            <w:r w:rsidRPr="0042058C">
              <w:rPr>
                <w:rFonts w:ascii="Times New Roman" w:eastAsia="Calibri" w:hAnsi="Times New Roman" w:cs="Times New Roman"/>
                <w:bCs/>
                <w:color w:val="000000"/>
                <w:sz w:val="20"/>
                <w:szCs w:val="20"/>
              </w:rPr>
              <w:t>/сут.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Нужды местной промышленности и неучтенные расходы –10-15% суммарного расхода на хозяйственно-питьевые нужды населенного пункта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Полив (40%), 70 л.</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 Донское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10841</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1,79</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0,27</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0,76</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 Безопасное</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4971</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0,82</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0,35</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п. им. Кирова</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1731</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0,29</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0,04</w:t>
            </w:r>
          </w:p>
        </w:tc>
        <w:tc>
          <w:tcPr>
            <w:tcW w:w="0" w:type="auto"/>
            <w:tcBorders>
              <w:top w:val="single" w:sz="4" w:space="0" w:color="auto"/>
              <w:left w:val="nil"/>
              <w:bottom w:val="single" w:sz="4" w:space="0" w:color="auto"/>
              <w:right w:val="single" w:sz="4" w:space="0" w:color="auto"/>
            </w:tcBorders>
            <w:shd w:val="clear" w:color="auto" w:fill="auto"/>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0,12</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 Труновское</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4559</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0,75</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0,11</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0,32</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 Новая Кугульта</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533</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0,09</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0,01</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0,04</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 Подлесное</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1394</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0,23</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0,03</w:t>
            </w:r>
          </w:p>
        </w:tc>
        <w:tc>
          <w:tcPr>
            <w:tcW w:w="0" w:type="auto"/>
            <w:tcBorders>
              <w:top w:val="single" w:sz="4" w:space="0" w:color="auto"/>
              <w:left w:val="nil"/>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0,10</w:t>
            </w:r>
          </w:p>
        </w:tc>
      </w:tr>
      <w:tr w:rsidR="0042058C" w:rsidRPr="0042058C" w:rsidTr="0042058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Труновский муниципальный округ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24028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0,59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1,68</w:t>
            </w:r>
          </w:p>
        </w:tc>
      </w:tr>
      <w:tr w:rsidR="0042058C" w:rsidRPr="0042058C" w:rsidTr="0042058C">
        <w:trPr>
          <w:trHeight w:val="20"/>
        </w:trPr>
        <w:tc>
          <w:tcPr>
            <w:tcW w:w="87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6,24</w:t>
            </w:r>
          </w:p>
        </w:tc>
      </w:tr>
      <w:tr w:rsidR="0042058C" w:rsidRPr="0042058C" w:rsidTr="0042058C">
        <w:trPr>
          <w:trHeight w:val="20"/>
        </w:trPr>
        <w:tc>
          <w:tcPr>
            <w:tcW w:w="87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 в сутки максимального водопотребления с К=1,2</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7,49</w:t>
            </w:r>
          </w:p>
        </w:tc>
      </w:tr>
      <w:tr w:rsidR="0042058C" w:rsidRPr="0042058C" w:rsidTr="0042058C">
        <w:trPr>
          <w:trHeight w:val="20"/>
        </w:trPr>
        <w:tc>
          <w:tcPr>
            <w:tcW w:w="87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 в сутки максимального водопотребления с К=0,8</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4,99</w:t>
            </w:r>
          </w:p>
        </w:tc>
      </w:tr>
    </w:tbl>
    <w:p w:rsidR="0042058C" w:rsidRPr="0042058C" w:rsidRDefault="0042058C" w:rsidP="0042058C">
      <w:pPr>
        <w:spacing w:after="0"/>
        <w:rPr>
          <w:rFonts w:ascii="Times New Roman" w:eastAsia="Calibri" w:hAnsi="Times New Roman" w:cs="Times New Roman"/>
          <w:sz w:val="24"/>
          <w:szCs w:val="24"/>
        </w:rPr>
      </w:pPr>
      <w:r w:rsidRPr="0042058C">
        <w:rPr>
          <w:rFonts w:ascii="Times New Roman" w:eastAsia="Calibri" w:hAnsi="Times New Roman" w:cs="Times New Roman"/>
          <w:sz w:val="20"/>
          <w:szCs w:val="20"/>
        </w:rPr>
        <w:t>* Примечание: расчеты подлежат уточнению на следующих стадиях проектирования.</w:t>
      </w:r>
    </w:p>
    <w:p w:rsidR="0042058C" w:rsidRPr="0042058C" w:rsidRDefault="0042058C" w:rsidP="0042058C">
      <w:pPr>
        <w:spacing w:after="0"/>
        <w:ind w:firstLine="709"/>
        <w:jc w:val="both"/>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Расходы воды на наружное пожаротушение. Данный расчет основывается на СП 8.13130.2020 «Системы противопожарной защиты. Наружное противопожарное водоснабжение. Требования пожарной безопасности», исходя из характера застройки и проектной численности населения.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ниже.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в соответствии с пунктом 5.2 свода правил.</w:t>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4</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Расход воды на наружное пожаротушение в населенном пункте</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2782"/>
        <w:gridCol w:w="2116"/>
        <w:gridCol w:w="2358"/>
        <w:gridCol w:w="2358"/>
      </w:tblGrid>
      <w:tr w:rsidR="0042058C" w:rsidRPr="0042058C" w:rsidTr="0042058C">
        <w:tc>
          <w:tcPr>
            <w:tcW w:w="2783" w:type="dxa"/>
            <w:vMerge w:val="restart"/>
            <w:tcBorders>
              <w:top w:val="single" w:sz="6" w:space="0" w:color="000000"/>
              <w:left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Число жителей в населенном пункте, тыс.чел.</w:t>
            </w:r>
          </w:p>
        </w:tc>
        <w:tc>
          <w:tcPr>
            <w:tcW w:w="2116" w:type="dxa"/>
            <w:vMerge w:val="restart"/>
            <w:tcBorders>
              <w:top w:val="single" w:sz="6" w:space="0" w:color="000000"/>
              <w:left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Расчетное количество</w:t>
            </w:r>
          </w:p>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одновременных пожаров</w:t>
            </w:r>
          </w:p>
        </w:tc>
        <w:tc>
          <w:tcPr>
            <w:tcW w:w="47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Расход воды на наружное пожаротушение в населенном пункте на 1 пожар, л/с</w:t>
            </w:r>
          </w:p>
        </w:tc>
      </w:tr>
      <w:tr w:rsidR="0042058C" w:rsidRPr="0042058C" w:rsidTr="0042058C">
        <w:trPr>
          <w:trHeight w:val="320"/>
        </w:trPr>
        <w:tc>
          <w:tcPr>
            <w:tcW w:w="2783" w:type="dxa"/>
            <w:vMerge/>
            <w:tcBorders>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p>
        </w:tc>
        <w:tc>
          <w:tcPr>
            <w:tcW w:w="2116" w:type="dxa"/>
            <w:vMerge/>
            <w:tcBorders>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Застройка зданиями высотой не более 2 этажей</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Застройка зданиями высотой 3 этажа и выше</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Не более 1</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1, но не более 5</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5, но не более 10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10, но не более 25</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25, но не более 50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w:t>
            </w:r>
          </w:p>
        </w:tc>
      </w:tr>
      <w:tr w:rsidR="0042058C" w:rsidRPr="0042058C" w:rsidTr="0042058C">
        <w:tc>
          <w:tcPr>
            <w:tcW w:w="278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50, но не более 100</w:t>
            </w:r>
          </w:p>
        </w:tc>
        <w:tc>
          <w:tcPr>
            <w:tcW w:w="2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100, но не более 200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40</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40</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200, но не более 300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55</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300, но не более 400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70</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400, но не более 500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80</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500, но не более 600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85</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600, но не более 700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90</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700, но не более 800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95</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800, но не более 1000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100</w:t>
            </w:r>
          </w:p>
        </w:tc>
      </w:tr>
      <w:tr w:rsidR="0042058C" w:rsidRPr="0042058C" w:rsidTr="0042058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Более 1000</w:t>
            </w:r>
          </w:p>
        </w:tc>
        <w:tc>
          <w:tcPr>
            <w:tcW w:w="2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w:t>
            </w:r>
          </w:p>
        </w:tc>
        <w:tc>
          <w:tcPr>
            <w:tcW w:w="23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42058C" w:rsidRPr="0042058C" w:rsidRDefault="0042058C" w:rsidP="0042058C">
            <w:pPr>
              <w:spacing w:after="0" w:line="240" w:lineRule="auto"/>
              <w:jc w:val="center"/>
              <w:textAlignment w:val="baseline"/>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110</w:t>
            </w:r>
          </w:p>
        </w:tc>
      </w:tr>
    </w:tbl>
    <w:p w:rsidR="0042058C" w:rsidRPr="0042058C" w:rsidRDefault="0042058C" w:rsidP="0042058C">
      <w:pPr>
        <w:spacing w:after="0"/>
        <w:ind w:firstLine="709"/>
        <w:jc w:val="both"/>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этом важно учитывать характер застройки и плотность населения при одновременном пожаре в двух разных частях муниципального округа. Расход воды на восстановление пожарного объема по групповому водопроводу следует определять как сумму расходов воды для населенных пунктов. Максимальный срок восстановления пожарного объема для Труновского МО составляет 24 ч.</w:t>
      </w:r>
      <w:r w:rsidRPr="0042058C">
        <w:rPr>
          <w:rFonts w:ascii="Times New Roman" w:eastAsia="Calibri" w:hAnsi="Times New Roman" w:cs="Times New Roman"/>
          <w:sz w:val="28"/>
          <w:szCs w:val="28"/>
          <w:vertAlign w:val="superscript"/>
        </w:rPr>
        <w:footnoteReference w:id="96"/>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Ниже представлены расчеты расхода воды для территориальных отделов Труновского МО.</w:t>
      </w:r>
    </w:p>
    <w:p w:rsidR="0042058C" w:rsidRPr="0042058C" w:rsidRDefault="0042058C" w:rsidP="0042058C">
      <w:pPr>
        <w:spacing w:after="0"/>
        <w:ind w:firstLine="709"/>
        <w:jc w:val="both"/>
        <w:rPr>
          <w:rFonts w:ascii="Times New Roman" w:eastAsia="Calibri" w:hAnsi="Times New Roman" w:cs="Times New Roman"/>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5</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Нормы расхода воды на наружное пожаротушение по территориальным управлениям Труновского муниципального округа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94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3212"/>
        <w:gridCol w:w="2750"/>
      </w:tblGrid>
      <w:tr w:rsidR="0042058C" w:rsidRPr="0042058C" w:rsidTr="0042058C">
        <w:trPr>
          <w:trHeight w:val="20"/>
        </w:trPr>
        <w:tc>
          <w:tcPr>
            <w:tcW w:w="3506" w:type="dxa"/>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Наименование территориального отдела</w:t>
            </w:r>
          </w:p>
        </w:tc>
        <w:tc>
          <w:tcPr>
            <w:tcW w:w="3212"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Численность населения</w:t>
            </w:r>
          </w:p>
        </w:tc>
        <w:tc>
          <w:tcPr>
            <w:tcW w:w="2750"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Расход воды на наружное пожаротушение</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Донское</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10841</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Безопасное</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4971</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п. им. Кирова</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1731</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Труновское</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4559</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Новая Кугульта</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533</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5</w:t>
            </w:r>
          </w:p>
        </w:tc>
      </w:tr>
      <w:tr w:rsidR="0042058C" w:rsidRPr="0042058C" w:rsidTr="0042058C">
        <w:trPr>
          <w:trHeight w:val="20"/>
        </w:trPr>
        <w:tc>
          <w:tcPr>
            <w:tcW w:w="3506" w:type="dxa"/>
            <w:shd w:val="clear" w:color="auto" w:fill="auto"/>
            <w:vAlign w:val="center"/>
            <w:hideMark/>
          </w:tcPr>
          <w:p w:rsidR="0042058C" w:rsidRPr="0042058C" w:rsidRDefault="0042058C" w:rsidP="0042058C">
            <w:pPr>
              <w:spacing w:after="0" w:line="240" w:lineRule="auto"/>
              <w:rPr>
                <w:rFonts w:ascii="Times New Roman" w:eastAsia="Times New Roman" w:hAnsi="Times New Roman" w:cs="Times New Roman"/>
                <w:color w:val="000000"/>
                <w:sz w:val="20"/>
                <w:szCs w:val="20"/>
                <w:lang w:eastAsia="ru-RU"/>
              </w:rPr>
            </w:pPr>
            <w:r w:rsidRPr="0042058C">
              <w:rPr>
                <w:rFonts w:ascii="Times New Roman" w:eastAsia="Times New Roman" w:hAnsi="Times New Roman" w:cs="Times New Roman"/>
                <w:color w:val="000000"/>
                <w:sz w:val="20"/>
                <w:szCs w:val="20"/>
                <w:lang w:eastAsia="ru-RU"/>
              </w:rPr>
              <w:t>с. Подлесное</w:t>
            </w:r>
          </w:p>
        </w:tc>
        <w:tc>
          <w:tcPr>
            <w:tcW w:w="3212"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1394</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10</w:t>
            </w:r>
          </w:p>
        </w:tc>
      </w:tr>
      <w:tr w:rsidR="0042058C" w:rsidRPr="0042058C" w:rsidTr="0042058C">
        <w:trPr>
          <w:trHeight w:val="20"/>
        </w:trPr>
        <w:tc>
          <w:tcPr>
            <w:tcW w:w="6718"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Times New Roman" w:hAnsi="Times New Roman" w:cs="Times New Roman"/>
                <w:color w:val="000000"/>
                <w:sz w:val="20"/>
                <w:szCs w:val="20"/>
                <w:lang w:eastAsia="ru-RU"/>
              </w:rPr>
              <w:t>Итого</w:t>
            </w:r>
          </w:p>
        </w:tc>
        <w:tc>
          <w:tcPr>
            <w:tcW w:w="2750" w:type="dxa"/>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fldChar w:fldCharType="begin"/>
            </w:r>
            <w:r w:rsidRPr="0042058C">
              <w:rPr>
                <w:rFonts w:ascii="Times New Roman" w:eastAsia="Calibri" w:hAnsi="Times New Roman" w:cs="Times New Roman"/>
                <w:color w:val="000000"/>
                <w:sz w:val="20"/>
                <w:szCs w:val="20"/>
              </w:rPr>
              <w:instrText xml:space="preserve"> =SUM(ABOVE) </w:instrText>
            </w:r>
            <w:r w:rsidRPr="0042058C">
              <w:rPr>
                <w:rFonts w:ascii="Times New Roman" w:eastAsia="Calibri" w:hAnsi="Times New Roman" w:cs="Times New Roman"/>
                <w:color w:val="000000"/>
                <w:sz w:val="20"/>
                <w:szCs w:val="20"/>
              </w:rPr>
              <w:fldChar w:fldCharType="separate"/>
            </w:r>
            <w:r w:rsidRPr="0042058C">
              <w:rPr>
                <w:rFonts w:ascii="Times New Roman" w:eastAsia="Calibri" w:hAnsi="Times New Roman" w:cs="Times New Roman"/>
                <w:noProof/>
                <w:color w:val="000000"/>
                <w:sz w:val="20"/>
                <w:szCs w:val="20"/>
              </w:rPr>
              <w:t>75</w:t>
            </w:r>
            <w:r w:rsidRPr="0042058C">
              <w:rPr>
                <w:rFonts w:ascii="Times New Roman" w:eastAsia="Calibri" w:hAnsi="Times New Roman" w:cs="Times New Roman"/>
                <w:color w:val="000000"/>
                <w:sz w:val="20"/>
                <w:szCs w:val="20"/>
              </w:rPr>
              <w:fldChar w:fldCharType="end"/>
            </w:r>
          </w:p>
        </w:tc>
      </w:tr>
    </w:tbl>
    <w:p w:rsidR="0042058C" w:rsidRPr="0042058C" w:rsidRDefault="0042058C" w:rsidP="0042058C">
      <w:pPr>
        <w:spacing w:after="0"/>
        <w:ind w:firstLine="709"/>
        <w:jc w:val="both"/>
        <w:rPr>
          <w:rFonts w:ascii="Times New Roman" w:eastAsia="Calibri" w:hAnsi="Times New Roman" w:cs="Times New Roman"/>
          <w:sz w:val="24"/>
          <w:szCs w:val="24"/>
        </w:rPr>
      </w:pPr>
      <w:r w:rsidRPr="0042058C">
        <w:rPr>
          <w:rFonts w:ascii="Times New Roman" w:eastAsia="Calibri" w:hAnsi="Times New Roman" w:cs="Times New Roman"/>
          <w:sz w:val="24"/>
          <w:szCs w:val="24"/>
        </w:rPr>
        <w:t xml:space="preserve">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Продолжительность тушения пожара должна приниматься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3 ч. С учетом полученных сведений, требуемый противопожарный запас воды составит:</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с. Донского = (30*2*10800)/1000=648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остальных территориальных отделов (за исключением с. Новая Кугульта) = (10*1*10800)/1000=108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с. Новая Кугульта = (5*1*10800)/1000=54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Всего, для Труновского муниципального округа – 810 м</w:t>
      </w:r>
      <w:r w:rsidRPr="0042058C">
        <w:rPr>
          <w:rFonts w:ascii="Times New Roman" w:eastAsia="Calibri" w:hAnsi="Times New Roman" w:cs="Times New Roman"/>
          <w:sz w:val="28"/>
          <w:szCs w:val="28"/>
          <w:vertAlign w:val="superscript"/>
        </w:rPr>
        <w:t>3</w:t>
      </w:r>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протяжении последних лет наблюдается тенденция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к рациональному и экономному потреблению холодной воды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следовательно, снижению объемов ее реализации всеми категориями потребителей.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Целью всех мероприятий по новому строительству, реконструкции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102" w:name="_Toc375752945"/>
      <w:r w:rsidRPr="0042058C">
        <w:rPr>
          <w:rFonts w:ascii="Times New Roman" w:eastAsia="Calibri" w:hAnsi="Times New Roman" w:cs="Times New Roman"/>
          <w:sz w:val="28"/>
          <w:szCs w:val="28"/>
        </w:rPr>
        <w:t>.</w:t>
      </w:r>
    </w:p>
    <w:bookmarkEnd w:id="102"/>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Для развития системы водоснабжения документами территориального планирования Ставропольского края предусмотрены к реализации следующие объекты:</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Д=63 мм, протяженность – 110 м, с. Труновское, по пл. Трунова от № 11 до № 1;</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Д=63 мм, протяженность – 110 м, с. Труновское, по ул. Ленина от № 21 до № 19;</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Д=63 мм, протяженность – 140 м, с. Труновское, по ул. Партизанская от № 59 до № 69;</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Д=63 мм, протяженность – 200 м, с. Труновское, по пер. Дружный от ул. Терновской  до № 8;</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реконструкция участка существующей водопроводной сети Д=63 мм, протяженность – 160 м, с. Труновское, по пер. Учительский от № 9 до № 11.</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Объекты местного значения, направленные на рост обеспеченности населения водой, снижения потерь при транспортировке от водозабора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к получателям приведены в п. 1.3.1 Тома 1. Положение о территориальном планировании.</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103" w:name="_Toc85173331"/>
      <w:r w:rsidRPr="0042058C">
        <w:rPr>
          <w:rFonts w:ascii="Times New Roman" w:eastAsia="Calibri" w:hAnsi="Times New Roman" w:cs="Times New Roman"/>
          <w:sz w:val="28"/>
          <w:szCs w:val="28"/>
        </w:rPr>
        <w:t>2</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Водоотведение</w:t>
      </w:r>
      <w:bookmarkEnd w:id="103"/>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Система водоотведения Труновского муниципального округа сегодня развита слабо и требует серьезных изменений. Сформированная система имеется только в с. Донском, но и в нем данная система обеспечивает небольшую часть жителей. В остальных сельских населенных пунктах нет централизованной системы водоотведения.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Проектные предложения генерального плана на данной стадии проектирования сводятся к определению расчетных расходов сточных вод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выбора трасс магистральных коллекторов. Параметры сетей и сооружений водоотведения уточняются на последующих стадиях проектирования.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Нормы водоотведения принимаются в соответствии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с п. 5.1.1 СП 32.13330.2018 «Канализация. Наружные сети и сооружения. Актуализированная редакция СНиП 2.04.03-85*» равным нормам водопотребления.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При проектировании систем водоотведения населенных пунктов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муниципальных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Удельное водоотведение в не канализованных районах следует принимать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25 л/сут на одного жителя.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Среднесуточный расход сточных вод населенных пунктов в составе округов определяется, как сумма всех расходов. Количество сточных вод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предприятий местной промышленности, обслуживающих население,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а также неучтенные расходы допускается (при обосновании) принимать дополнительно в размере соответственно 6%-12% и 4%-8% суммарного среднесуточного водоотведения поселения или муниципального округа (при соответствующем обосновании). Итоговые расчетные суточные расходы принимаются как произведение среднесуточного расхода и значения коэффициента суточной неравномерности.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Расчет расхода сточных вод, необходимых для водоотведения,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расчетный срок приводится в таблице ниже.</w:t>
      </w:r>
    </w:p>
    <w:p w:rsidR="0042058C" w:rsidRPr="0042058C" w:rsidRDefault="0042058C" w:rsidP="0042058C">
      <w:pPr>
        <w:keepNext/>
        <w:spacing w:after="0" w:line="240" w:lineRule="auto"/>
        <w:jc w:val="both"/>
        <w:rPr>
          <w:rFonts w:ascii="Times New Roman" w:eastAsia="Calibri" w:hAnsi="Times New Roman" w:cs="Times New Roman"/>
          <w:bCs/>
          <w:sz w:val="28"/>
          <w:szCs w:val="28"/>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noProof/>
          <w:sz w:val="28"/>
          <w:szCs w:val="28"/>
        </w:rPr>
        <w:t>10</w:t>
      </w:r>
      <w:r w:rsidR="00E86957">
        <w:rPr>
          <w:rFonts w:ascii="Times New Roman" w:eastAsia="Calibri" w:hAnsi="Times New Roman" w:cs="Times New Roman"/>
          <w:bCs/>
          <w:noProof/>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 показателей системы водоотведения Труновского муниципального округа на расчетный срок (2041 год) реализации проекта генерального плана</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CellMar>
          <w:left w:w="57" w:type="dxa"/>
          <w:right w:w="57" w:type="dxa"/>
        </w:tblCellMar>
        <w:tblLook w:val="04A0" w:firstRow="1" w:lastRow="0" w:firstColumn="1" w:lastColumn="0" w:noHBand="0" w:noVBand="1"/>
      </w:tblPr>
      <w:tblGrid>
        <w:gridCol w:w="1647"/>
        <w:gridCol w:w="1263"/>
        <w:gridCol w:w="1693"/>
        <w:gridCol w:w="1589"/>
        <w:gridCol w:w="1693"/>
        <w:gridCol w:w="1583"/>
      </w:tblGrid>
      <w:tr w:rsidR="0042058C" w:rsidRPr="0042058C" w:rsidTr="0042058C">
        <w:trPr>
          <w:trHeight w:val="412"/>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Наименование потребителей</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Численность населения</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Норма водопотребления, л/сут. на человека за год</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Среднесуточный расход, тыс. м3/сут.</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предприятий местной промышленности, обслуживающих население принимать в размере 6-12%</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Неучтенные расходы 4%-8% суммарного среднесуточного водоотведения поселения или муниципального округа</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10841</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0,27</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0,03</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0,02</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4971</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0,12</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им. Кирова</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1731</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0,04</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0,00</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4559</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0,11</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533</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0,01</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0,00</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0,00</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1394</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0,03</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0,00</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0,00</w:t>
            </w:r>
          </w:p>
        </w:tc>
      </w:tr>
      <w:tr w:rsidR="0042058C" w:rsidRPr="0042058C" w:rsidTr="0042058C">
        <w:trPr>
          <w:trHeight w:val="54"/>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Труновский муниципальный округ</w:t>
            </w:r>
          </w:p>
        </w:tc>
        <w:tc>
          <w:tcPr>
            <w:tcW w:w="667"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24028</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0,60</w:t>
            </w:r>
          </w:p>
        </w:tc>
        <w:tc>
          <w:tcPr>
            <w:tcW w:w="894"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0,07</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0,05</w:t>
            </w:r>
          </w:p>
        </w:tc>
      </w:tr>
      <w:tr w:rsidR="0042058C" w:rsidRPr="0042058C" w:rsidTr="0042058C">
        <w:trPr>
          <w:trHeight w:val="58"/>
        </w:trPr>
        <w:tc>
          <w:tcPr>
            <w:tcW w:w="416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0,72</w:t>
            </w:r>
          </w:p>
        </w:tc>
      </w:tr>
      <w:tr w:rsidR="0042058C" w:rsidRPr="0042058C" w:rsidTr="0042058C">
        <w:trPr>
          <w:trHeight w:val="63"/>
        </w:trPr>
        <w:tc>
          <w:tcPr>
            <w:tcW w:w="416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 в сутки максимального водопотребления с К=1,2</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0,87</w:t>
            </w:r>
          </w:p>
        </w:tc>
      </w:tr>
      <w:tr w:rsidR="0042058C" w:rsidRPr="0042058C" w:rsidTr="0042058C">
        <w:trPr>
          <w:trHeight w:val="54"/>
        </w:trPr>
        <w:tc>
          <w:tcPr>
            <w:tcW w:w="416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Всего в сутки максимального водопотребления с К=0,8</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0,58</w:t>
            </w:r>
          </w:p>
        </w:tc>
      </w:tr>
    </w:tbl>
    <w:p w:rsidR="0042058C" w:rsidRPr="0042058C" w:rsidRDefault="0042058C" w:rsidP="0042058C">
      <w:pPr>
        <w:spacing w:after="0" w:line="240" w:lineRule="auto"/>
        <w:ind w:firstLine="567"/>
        <w:rPr>
          <w:rFonts w:ascii="Times New Roman" w:eastAsia="Calibri" w:hAnsi="Times New Roman" w:cs="Times New Roman"/>
          <w:sz w:val="20"/>
          <w:szCs w:val="20"/>
        </w:rPr>
      </w:pPr>
      <w:r w:rsidRPr="0042058C">
        <w:rPr>
          <w:rFonts w:ascii="Times New Roman" w:eastAsia="Calibri" w:hAnsi="Times New Roman" w:cs="Times New Roman"/>
          <w:sz w:val="20"/>
          <w:szCs w:val="20"/>
        </w:rPr>
        <w:t>* Примечание: расчеты подлежат уточнению на следующих стадиях проектирования.</w:t>
      </w:r>
    </w:p>
    <w:p w:rsidR="0042058C" w:rsidRPr="0042058C" w:rsidRDefault="0042058C" w:rsidP="0042058C">
      <w:pPr>
        <w:spacing w:after="0"/>
        <w:ind w:firstLine="709"/>
        <w:rPr>
          <w:rFonts w:ascii="Times New Roman" w:eastAsia="Calibri" w:hAnsi="Times New Roman" w:cs="Times New Roman"/>
          <w:sz w:val="24"/>
          <w:szCs w:val="24"/>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Для сельских населенных пунктов Труновского муниципального округа принимается незначительное изменение систем водоотведения,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в значительной степени небольшое развитие получит с. Донское.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В остальных сельских населенных пунктах развитие системы водоотведения не предполагается.</w:t>
      </w:r>
    </w:p>
    <w:p w:rsidR="0042058C" w:rsidRPr="0042058C" w:rsidRDefault="0042058C" w:rsidP="0042058C">
      <w:pPr>
        <w:spacing w:after="0"/>
        <w:ind w:firstLine="709"/>
        <w:jc w:val="both"/>
        <w:outlineLvl w:val="2"/>
        <w:rPr>
          <w:rFonts w:ascii="Times New Roman" w:eastAsia="Calibri" w:hAnsi="Times New Roman" w:cs="Times New Roman"/>
          <w:sz w:val="28"/>
          <w:szCs w:val="28"/>
        </w:rPr>
      </w:pPr>
      <w:bookmarkStart w:id="104" w:name="_Toc85173332"/>
      <w:r w:rsidRPr="0042058C">
        <w:rPr>
          <w:rFonts w:ascii="Times New Roman" w:eastAsia="Calibri" w:hAnsi="Times New Roman" w:cs="Times New Roman"/>
          <w:sz w:val="28"/>
          <w:szCs w:val="28"/>
        </w:rPr>
        <w:t>3</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Теплоснабжение</w:t>
      </w:r>
      <w:bookmarkEnd w:id="104"/>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Сложившаяся система теплоснабжения направлена на обеспечение объектов промышленности, социальной инфраструктуры и небольшого числа жителей в малоэтажной застройке.</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Постановлением правительства Российской Федерации от 05 июля 2018 года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и иными действующими нормативными правовыми актами Российской Федерации, Ставропольского края и Труновского муниципального округа.</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Проектом предусматривается сохранение обеспечения централизованным теплоснабжением объектов социального и культурно-бытового обслуживания округа. Жилищное строительство должно предусматривать систему с индивидуальным отоплением. В качестве основного топлива котельных на планируемый период предусмотреть природный газ.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Температурный график тепловых сетей принять 95 – 70</w:t>
      </w:r>
      <w:r w:rsidRPr="0042058C">
        <w:rPr>
          <w:rFonts w:ascii="Times New Roman" w:eastAsia="Calibri" w:hAnsi="Times New Roman" w:cs="Times New Roman"/>
          <w:sz w:val="28"/>
          <w:szCs w:val="28"/>
          <w:vertAlign w:val="superscript"/>
        </w:rPr>
        <w:t>˚</w:t>
      </w:r>
      <w:r w:rsidRPr="0042058C">
        <w:rPr>
          <w:rFonts w:ascii="Times New Roman" w:eastAsia="Calibri" w:hAnsi="Times New Roman" w:cs="Times New Roman"/>
          <w:sz w:val="28"/>
          <w:szCs w:val="28"/>
        </w:rPr>
        <w:t xml:space="preserve">С. Тепловые сети проложить до ЦТП (ИТП). ЦТП (ИТП) должны работать без постоянного обслуживающего персонала, а информация выводиться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единый диспетчерский пульт управления. Следует предусмотреть установку приборов учёта вырабатываемой и потребляемой тепловой энергии.</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строительстве новых общественных зданий в период 2021-2041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Тепловые нагрузки, трассировка тепловых сетей и диаметры трубопроводов уточняются на последующей стадии проектирования.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Теплоснабжение индивидуальной малоэтажной застройки (без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 приусадебными участками) будет носить локальный характер –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автономных теплогенерирующих установок, работающих на природном газе. </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источников, для обеспечения перспективных тепловых нагрузок, не планируется в связи с отсутствием потребности в строительстве новых объектов промышленности и объектов культурно-досугового назначения.</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Предложения по реконструкции источников тепловой энергии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расширения зон действия источников тепловой энергии отсутствуют.</w:t>
      </w:r>
    </w:p>
    <w:p w:rsidR="0042058C" w:rsidRPr="0042058C" w:rsidRDefault="0042058C" w:rsidP="0042058C">
      <w:pPr>
        <w:spacing w:after="0"/>
        <w:ind w:left="567" w:firstLine="142"/>
        <w:jc w:val="both"/>
        <w:outlineLvl w:val="2"/>
        <w:rPr>
          <w:rFonts w:ascii="Times New Roman" w:eastAsia="Calibri" w:hAnsi="Times New Roman" w:cs="Times New Roman"/>
          <w:sz w:val="28"/>
          <w:szCs w:val="28"/>
        </w:rPr>
      </w:pPr>
      <w:bookmarkStart w:id="105" w:name="_Toc85173333"/>
      <w:r w:rsidRPr="0042058C">
        <w:rPr>
          <w:rFonts w:ascii="Times New Roman" w:eastAsia="Calibri" w:hAnsi="Times New Roman" w:cs="Times New Roman"/>
          <w:sz w:val="28"/>
          <w:szCs w:val="28"/>
        </w:rPr>
        <w:t>4</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Электроснабжение</w:t>
      </w:r>
      <w:bookmarkEnd w:id="105"/>
      <w:r w:rsidRPr="0042058C">
        <w:rPr>
          <w:rFonts w:ascii="Times New Roman" w:eastAsia="Calibri" w:hAnsi="Times New Roman" w:cs="Times New Roman"/>
          <w:sz w:val="28"/>
          <w:szCs w:val="28"/>
        </w:rPr>
        <w:t>.</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Сложившаяся система теплоснабжения направлена на обеспечение объектов промышленности, социальной инфраструктуры и небольшого числа жителей в малоэтажной застройке.</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Постановлением правительства Российской Федерации от 05 июля 2018 года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и иными действующими нормативными правовыми актами Российской Федерации, Ставропольского края и Труновского муниципального округа.</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Проектом предусматривается сохранение обеспечения централизованным теплоснабжением объектов социального и культурно-бытового обслуживания округа. Жилищное строительство должно предусматривать систему с индивидуальным отоплением. В качестве основного топлива котельных на планируемый период предусмотреть природный газ. </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Температурный график тепловых сетей принять 95 – 70</w:t>
      </w:r>
      <w:r w:rsidRPr="0042058C">
        <w:rPr>
          <w:rFonts w:ascii="Times New Roman" w:eastAsia="Calibri" w:hAnsi="Times New Roman" w:cs="Times New Roman"/>
          <w:sz w:val="28"/>
          <w:szCs w:val="28"/>
          <w:vertAlign w:val="superscript"/>
        </w:rPr>
        <w:t>˚</w:t>
      </w:r>
      <w:r w:rsidRPr="0042058C">
        <w:rPr>
          <w:rFonts w:ascii="Times New Roman" w:eastAsia="Calibri" w:hAnsi="Times New Roman" w:cs="Times New Roman"/>
          <w:sz w:val="28"/>
          <w:szCs w:val="28"/>
        </w:rPr>
        <w:t xml:space="preserve">С. Тепловые сети проложить до ЦТП (ИТП). ЦТП (ИТП) должны работать без постоянного обслуживающего персонала, а информация выводиться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на единый диспетчерский пульт управления. Следует предусмотреть установку приборов учёта вырабатываемой и потребляемой тепловой энергии.</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строительстве новых общественных зданий в период 2021-2041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Тепловые нагрузки, трассировка тепловых сетей и диаметры трубопроводов уточняются на последующей стадии проектирования.</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Теплоснабжение индивидуальной малоэтажной застройки (без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с приусадебными участками) будет носить локальный характер –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от автономных теплогенерирующих установок, работающих на природном газе. </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Строительство источников, для обеспечения перспективных тепловых нагрузок, не планируется в связи с отсутствием потребности в строительстве новых объектов промышленности и объектов культурно-досугового назначения.</w:t>
      </w:r>
    </w:p>
    <w:p w:rsidR="0042058C" w:rsidRPr="0042058C" w:rsidRDefault="0042058C" w:rsidP="0042058C">
      <w:pPr>
        <w:tabs>
          <w:tab w:val="left" w:pos="993"/>
        </w:tabs>
        <w:spacing w:after="0"/>
        <w:ind w:firstLine="720"/>
        <w:contextualSpacing/>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Предложения по реконструкции источников тепловой энергии </w:t>
      </w:r>
      <w:r w:rsidR="00E13FE0">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расширения зон действия источников тепловой энергии отсутствуют.</w:t>
      </w:r>
    </w:p>
    <w:p w:rsidR="0042058C" w:rsidRPr="0042058C" w:rsidRDefault="0042058C" w:rsidP="0042058C">
      <w:pPr>
        <w:spacing w:after="0"/>
        <w:ind w:left="567" w:firstLine="142"/>
        <w:jc w:val="both"/>
        <w:outlineLvl w:val="2"/>
        <w:rPr>
          <w:rFonts w:ascii="Times New Roman" w:eastAsia="Calibri" w:hAnsi="Times New Roman" w:cs="Times New Roman"/>
          <w:sz w:val="28"/>
          <w:szCs w:val="28"/>
        </w:rPr>
      </w:pPr>
      <w:bookmarkStart w:id="106" w:name="_Toc85173334"/>
      <w:r w:rsidRPr="0042058C">
        <w:rPr>
          <w:rFonts w:ascii="Times New Roman" w:eastAsia="Calibri" w:hAnsi="Times New Roman" w:cs="Times New Roman"/>
          <w:sz w:val="28"/>
          <w:szCs w:val="28"/>
        </w:rPr>
        <w:t>5</w:t>
      </w:r>
      <w:r w:rsidR="00F62636">
        <w:rPr>
          <w:rFonts w:ascii="Times New Roman" w:eastAsia="Calibri" w:hAnsi="Times New Roman" w:cs="Times New Roman"/>
          <w:sz w:val="28"/>
          <w:szCs w:val="28"/>
        </w:rPr>
        <w:t>)</w:t>
      </w:r>
      <w:r w:rsidRPr="0042058C">
        <w:rPr>
          <w:rFonts w:ascii="Times New Roman" w:eastAsia="Calibri" w:hAnsi="Times New Roman" w:cs="Times New Roman"/>
          <w:sz w:val="28"/>
          <w:szCs w:val="28"/>
        </w:rPr>
        <w:t xml:space="preserve"> Газоснабжение</w:t>
      </w:r>
      <w:bookmarkEnd w:id="106"/>
      <w:r w:rsidRPr="0042058C">
        <w:rPr>
          <w:rFonts w:ascii="Times New Roman" w:eastAsia="Calibri" w:hAnsi="Times New Roman" w:cs="Times New Roman"/>
          <w:sz w:val="28"/>
          <w:szCs w:val="28"/>
        </w:rPr>
        <w:t>.</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Сети газоснабжения Труновского муниципального образования обеспечивают почти всех жителей газом. В первую очередь необходимо доведение показателей обеспеченности газом до 100%.</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На расчетный срок (до 2041 г.) проектом предусматривается сохранение существующей системы газоснабжения с проведением мероприятий направленных на повышение надежности ее работы. Расширение системы возможно за счет планируемой индивидуальной застройки.</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Согласно СП 402.1325800.2018 Здания жилые. Правила проектирования систем газопотребления принимаются укрупненные показатели потребления газа </w:t>
      </w:r>
      <w:r w:rsidRPr="0042058C">
        <w:rPr>
          <w:rFonts w:ascii="Times New Roman" w:eastAsia="Times New Roman" w:hAnsi="Times New Roman" w:cs="Times New Roman"/>
          <w:spacing w:val="2"/>
          <w:sz w:val="28"/>
          <w:szCs w:val="28"/>
          <w:shd w:val="clear" w:color="auto" w:fill="FFFFFF"/>
          <w:lang w:eastAsia="ru-RU"/>
        </w:rPr>
        <w:t>м</w:t>
      </w:r>
      <w:r w:rsidRPr="0042058C">
        <w:rPr>
          <w:rFonts w:ascii="Times New Roman" w:eastAsia="Times New Roman" w:hAnsi="Times New Roman" w:cs="Times New Roman"/>
          <w:spacing w:val="2"/>
          <w:sz w:val="28"/>
          <w:szCs w:val="28"/>
          <w:shd w:val="clear" w:color="auto" w:fill="FFFFFF"/>
          <w:vertAlign w:val="superscript"/>
          <w:lang w:eastAsia="ru-RU"/>
        </w:rPr>
        <w:t>3</w:t>
      </w:r>
      <w:r w:rsidRPr="0042058C">
        <w:rPr>
          <w:rFonts w:ascii="Times New Roman" w:eastAsia="Times New Roman" w:hAnsi="Times New Roman" w:cs="Times New Roman"/>
          <w:spacing w:val="2"/>
          <w:sz w:val="28"/>
          <w:szCs w:val="28"/>
          <w:shd w:val="clear" w:color="auto" w:fill="FFFFFF"/>
          <w:lang w:eastAsia="ru-RU"/>
        </w:rPr>
        <w:t>/</w:t>
      </w:r>
      <w:r w:rsidRPr="0042058C">
        <w:rPr>
          <w:rFonts w:ascii="Times New Roman" w:eastAsia="Times New Roman" w:hAnsi="Times New Roman" w:cs="Times New Roman"/>
          <w:sz w:val="28"/>
          <w:szCs w:val="28"/>
          <w:lang w:eastAsia="ru-RU"/>
        </w:rPr>
        <w:t>год на 1 чел., при теплоте сгорания газа               34 МДж/м (8000 ккал/м):</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 наличии централизованного горячего водоснабжения – 120;</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 горячем водоснабжении от газовых водонагревателей – 300;</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при отсутствии всех видов горячего водоснабжения – 180 </w:t>
      </w:r>
      <w:r w:rsidR="00E13FE0">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(220 в сельской местности).</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Принимаем, что вся застройка Труновского муниципального округа обеспечена горячим водоснабжением от газовых водонагревателей. Для сельских населённых пунктов принимается норма потребления 300 м</w:t>
      </w:r>
      <w:r w:rsidRPr="0042058C">
        <w:rPr>
          <w:rFonts w:ascii="Times New Roman" w:eastAsia="Times New Roman" w:hAnsi="Times New Roman" w:cs="Times New Roman"/>
          <w:sz w:val="28"/>
          <w:szCs w:val="28"/>
          <w:vertAlign w:val="superscript"/>
          <w:lang w:eastAsia="ru-RU"/>
        </w:rPr>
        <w:t>3</w:t>
      </w:r>
      <w:r w:rsidRPr="0042058C">
        <w:rPr>
          <w:rFonts w:ascii="Times New Roman" w:eastAsia="Times New Roman" w:hAnsi="Times New Roman" w:cs="Times New Roman"/>
          <w:sz w:val="28"/>
          <w:szCs w:val="28"/>
          <w:lang w:eastAsia="ru-RU"/>
        </w:rPr>
        <w:t xml:space="preserve">/ год </w:t>
      </w:r>
      <w:r w:rsidR="00E13FE0">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1 человека.</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Прогноз газопотребления жилищно-коммунальной сферой Труновского муниципального округа на расчетный срок представлен </w:t>
      </w:r>
      <w:r w:rsidR="00E13FE0">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таблице ниже.</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F62636">
        <w:rPr>
          <w:rFonts w:ascii="Times New Roman" w:eastAsia="Calibri" w:hAnsi="Times New Roman" w:cs="Times New Roman"/>
          <w:bCs/>
          <w:sz w:val="28"/>
          <w:szCs w:val="28"/>
        </w:rPr>
        <w:t>10</w:t>
      </w:r>
      <w:r w:rsidR="00E86957">
        <w:rPr>
          <w:rFonts w:ascii="Times New Roman" w:eastAsia="Calibri" w:hAnsi="Times New Roman" w:cs="Times New Roman"/>
          <w:bCs/>
          <w:sz w:val="28"/>
          <w:szCs w:val="28"/>
        </w:rPr>
        <w:t>7</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Прогноз потребления газа жилищно-коммунальной сферой Труновского муниципального округа (на 2041 год)</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92"/>
        <w:gridCol w:w="2837"/>
        <w:gridCol w:w="2839"/>
      </w:tblGrid>
      <w:tr w:rsidR="0042058C" w:rsidRPr="0042058C" w:rsidTr="0042058C">
        <w:trPr>
          <w:trHeight w:val="552"/>
        </w:trPr>
        <w:tc>
          <w:tcPr>
            <w:tcW w:w="2003"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Наименование потребителей (территориальных отделов)</w:t>
            </w:r>
          </w:p>
        </w:tc>
        <w:tc>
          <w:tcPr>
            <w:tcW w:w="1498"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Население на перспективу</w:t>
            </w:r>
          </w:p>
        </w:tc>
        <w:tc>
          <w:tcPr>
            <w:tcW w:w="1499" w:type="pct"/>
            <w:shd w:val="clear" w:color="auto" w:fill="auto"/>
            <w:vAlign w:val="center"/>
            <w:hideMark/>
          </w:tcPr>
          <w:p w:rsidR="0042058C" w:rsidRPr="0042058C" w:rsidRDefault="0042058C" w:rsidP="0042058C">
            <w:pPr>
              <w:spacing w:after="0" w:line="240" w:lineRule="auto"/>
              <w:jc w:val="center"/>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Объем потребления газа, тыс. м</w:t>
            </w:r>
            <w:r w:rsidRPr="0042058C">
              <w:rPr>
                <w:rFonts w:ascii="Times New Roman" w:eastAsia="Times New Roman" w:hAnsi="Times New Roman" w:cs="Times New Roman"/>
                <w:bCs/>
                <w:color w:val="000000"/>
                <w:sz w:val="20"/>
                <w:vertAlign w:val="superscript"/>
                <w:lang w:eastAsia="ru-RU"/>
              </w:rPr>
              <w:t>3</w:t>
            </w:r>
            <w:r w:rsidRPr="0042058C">
              <w:rPr>
                <w:rFonts w:ascii="Times New Roman" w:eastAsia="Times New Roman" w:hAnsi="Times New Roman" w:cs="Times New Roman"/>
                <w:bCs/>
                <w:color w:val="000000"/>
                <w:sz w:val="20"/>
                <w:lang w:eastAsia="ru-RU"/>
              </w:rPr>
              <w:t>/год</w:t>
            </w:r>
          </w:p>
        </w:tc>
      </w:tr>
      <w:tr w:rsidR="0042058C" w:rsidRPr="0042058C" w:rsidTr="0042058C">
        <w:trPr>
          <w:trHeight w:val="63"/>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с. Донское</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10841</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1300,9</w:t>
            </w:r>
          </w:p>
        </w:tc>
      </w:tr>
      <w:tr w:rsidR="0042058C" w:rsidRPr="0042058C" w:rsidTr="0042058C">
        <w:trPr>
          <w:trHeight w:val="288"/>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с. Безопасное</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4971</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1491,4</w:t>
            </w:r>
          </w:p>
        </w:tc>
      </w:tr>
      <w:tr w:rsidR="0042058C" w:rsidRPr="0042058C" w:rsidTr="0042058C">
        <w:trPr>
          <w:trHeight w:val="288"/>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п. им. Кирова</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1731</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519,2</w:t>
            </w:r>
          </w:p>
        </w:tc>
      </w:tr>
      <w:tr w:rsidR="0042058C" w:rsidRPr="0042058C" w:rsidTr="0042058C">
        <w:trPr>
          <w:trHeight w:val="288"/>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с. Труновское</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4559</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1367,8</w:t>
            </w:r>
          </w:p>
        </w:tc>
      </w:tr>
      <w:tr w:rsidR="0042058C" w:rsidRPr="0042058C" w:rsidTr="0042058C">
        <w:trPr>
          <w:trHeight w:val="288"/>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с. Новая Кугульта</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533</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159,8</w:t>
            </w:r>
          </w:p>
        </w:tc>
      </w:tr>
      <w:tr w:rsidR="0042058C" w:rsidRPr="0042058C" w:rsidTr="0042058C">
        <w:trPr>
          <w:trHeight w:val="288"/>
        </w:trPr>
        <w:tc>
          <w:tcPr>
            <w:tcW w:w="2003" w:type="pct"/>
            <w:shd w:val="clear" w:color="auto" w:fill="auto"/>
            <w:noWrap/>
            <w:vAlign w:val="bottom"/>
            <w:hideMark/>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с. Подлесное</w:t>
            </w:r>
          </w:p>
        </w:tc>
        <w:tc>
          <w:tcPr>
            <w:tcW w:w="1498"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1394</w:t>
            </w:r>
          </w:p>
        </w:tc>
        <w:tc>
          <w:tcPr>
            <w:tcW w:w="1499" w:type="pct"/>
            <w:shd w:val="clear" w:color="auto" w:fill="auto"/>
            <w:noWrap/>
            <w:vAlign w:val="bottom"/>
            <w:hideMark/>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418,1</w:t>
            </w:r>
          </w:p>
        </w:tc>
      </w:tr>
      <w:tr w:rsidR="0042058C" w:rsidRPr="0042058C" w:rsidTr="0042058C">
        <w:trPr>
          <w:trHeight w:val="288"/>
        </w:trPr>
        <w:tc>
          <w:tcPr>
            <w:tcW w:w="2003" w:type="pct"/>
            <w:shd w:val="clear" w:color="auto" w:fill="auto"/>
            <w:noWrap/>
            <w:vAlign w:val="center"/>
          </w:tcPr>
          <w:p w:rsidR="0042058C" w:rsidRPr="0042058C" w:rsidRDefault="0042058C" w:rsidP="0042058C">
            <w:pPr>
              <w:spacing w:after="0" w:line="240" w:lineRule="auto"/>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Труновский муниципальный округ</w:t>
            </w:r>
          </w:p>
        </w:tc>
        <w:tc>
          <w:tcPr>
            <w:tcW w:w="1498" w:type="pct"/>
            <w:shd w:val="clear" w:color="auto" w:fill="auto"/>
            <w:noWrap/>
            <w:vAlign w:val="bottom"/>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24028</w:t>
            </w:r>
          </w:p>
        </w:tc>
        <w:tc>
          <w:tcPr>
            <w:tcW w:w="1499" w:type="pct"/>
            <w:shd w:val="clear" w:color="auto" w:fill="auto"/>
            <w:noWrap/>
            <w:vAlign w:val="bottom"/>
          </w:tcPr>
          <w:p w:rsidR="0042058C" w:rsidRPr="0042058C" w:rsidRDefault="0042058C" w:rsidP="0042058C">
            <w:pPr>
              <w:spacing w:after="0" w:line="240" w:lineRule="auto"/>
              <w:jc w:val="right"/>
              <w:rPr>
                <w:rFonts w:ascii="Times New Roman" w:eastAsia="Times New Roman" w:hAnsi="Times New Roman" w:cs="Times New Roman"/>
                <w:bCs/>
                <w:color w:val="000000"/>
                <w:sz w:val="20"/>
                <w:lang w:eastAsia="ru-RU"/>
              </w:rPr>
            </w:pPr>
            <w:r w:rsidRPr="0042058C">
              <w:rPr>
                <w:rFonts w:ascii="Times New Roman" w:eastAsia="Times New Roman" w:hAnsi="Times New Roman" w:cs="Times New Roman"/>
                <w:bCs/>
                <w:color w:val="000000"/>
                <w:sz w:val="20"/>
                <w:lang w:eastAsia="ru-RU"/>
              </w:rPr>
              <w:t>5257,2</w:t>
            </w:r>
          </w:p>
        </w:tc>
      </w:tr>
    </w:tbl>
    <w:p w:rsidR="0042058C" w:rsidRPr="0042058C" w:rsidRDefault="0042058C" w:rsidP="0042058C">
      <w:pPr>
        <w:spacing w:after="0"/>
        <w:ind w:firstLine="709"/>
        <w:jc w:val="both"/>
        <w:rPr>
          <w:rFonts w:ascii="Times New Roman" w:eastAsia="Times New Roman" w:hAnsi="Times New Roman" w:cs="Times New Roman"/>
          <w:color w:val="00000A"/>
          <w:sz w:val="24"/>
          <w:szCs w:val="24"/>
          <w:lang w:eastAsia="ru-RU"/>
        </w:rPr>
      </w:pPr>
    </w:p>
    <w:p w:rsidR="0042058C" w:rsidRPr="0042058C" w:rsidRDefault="0042058C" w:rsidP="0042058C">
      <w:pPr>
        <w:spacing w:after="0"/>
        <w:ind w:firstLine="709"/>
        <w:jc w:val="both"/>
        <w:rPr>
          <w:rFonts w:ascii="Times New Roman" w:eastAsia="Times New Roman" w:hAnsi="Times New Roman" w:cs="Times New Roman"/>
          <w:color w:val="00000A"/>
          <w:sz w:val="28"/>
          <w:szCs w:val="28"/>
          <w:lang w:eastAsia="ru-RU"/>
        </w:rPr>
      </w:pPr>
      <w:r w:rsidRPr="0042058C">
        <w:rPr>
          <w:rFonts w:ascii="Times New Roman" w:eastAsia="Times New Roman" w:hAnsi="Times New Roman" w:cs="Times New Roman"/>
          <w:color w:val="00000A"/>
          <w:sz w:val="28"/>
          <w:szCs w:val="28"/>
          <w:lang w:eastAsia="ru-RU"/>
        </w:rPr>
        <w:t xml:space="preserve">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муниципального округа, </w:t>
      </w:r>
      <w:r w:rsidR="004830AF">
        <w:rPr>
          <w:rFonts w:ascii="Times New Roman" w:eastAsia="Times New Roman" w:hAnsi="Times New Roman" w:cs="Times New Roman"/>
          <w:color w:val="00000A"/>
          <w:sz w:val="28"/>
          <w:szCs w:val="28"/>
          <w:lang w:eastAsia="ru-RU"/>
        </w:rPr>
        <w:t xml:space="preserve">               </w:t>
      </w:r>
      <w:r w:rsidRPr="0042058C">
        <w:rPr>
          <w:rFonts w:ascii="Times New Roman" w:eastAsia="Times New Roman" w:hAnsi="Times New Roman" w:cs="Times New Roman"/>
          <w:color w:val="00000A"/>
          <w:sz w:val="28"/>
          <w:szCs w:val="28"/>
          <w:lang w:eastAsia="ru-RU"/>
        </w:rPr>
        <w:t>а также бытовые условия жизни населения.</w:t>
      </w:r>
    </w:p>
    <w:p w:rsidR="0042058C" w:rsidRPr="0042058C" w:rsidRDefault="0042058C" w:rsidP="0042058C">
      <w:pPr>
        <w:spacing w:after="0"/>
        <w:ind w:firstLine="709"/>
        <w:jc w:val="both"/>
        <w:rPr>
          <w:rFonts w:ascii="Times New Roman" w:eastAsia="Times New Roman" w:hAnsi="Times New Roman" w:cs="Times New Roman"/>
          <w:color w:val="00000A"/>
          <w:sz w:val="28"/>
          <w:szCs w:val="28"/>
          <w:lang w:eastAsia="ru-RU"/>
        </w:rPr>
      </w:pPr>
      <w:r w:rsidRPr="0042058C">
        <w:rPr>
          <w:rFonts w:ascii="Times New Roman" w:eastAsia="Times New Roman" w:hAnsi="Times New Roman" w:cs="Times New Roman"/>
          <w:color w:val="00000A"/>
          <w:sz w:val="28"/>
          <w:szCs w:val="28"/>
          <w:lang w:eastAsia="ru-RU"/>
        </w:rPr>
        <w:t>Схемой территориального планирования Ставропольского края предусмотрены для реализации следующие проекты:</w:t>
      </w:r>
    </w:p>
    <w:p w:rsidR="0042058C" w:rsidRPr="0042058C" w:rsidRDefault="0042058C" w:rsidP="0042058C">
      <w:pPr>
        <w:tabs>
          <w:tab w:val="left" w:pos="709"/>
        </w:tabs>
        <w:spacing w:after="0"/>
        <w:jc w:val="both"/>
        <w:rPr>
          <w:rFonts w:ascii="Times New Roman" w:eastAsia="Times New Roman" w:hAnsi="Times New Roman" w:cs="Times New Roman"/>
          <w:color w:val="00000A"/>
          <w:sz w:val="28"/>
          <w:szCs w:val="28"/>
          <w:lang w:eastAsia="ru-RU"/>
        </w:rPr>
      </w:pPr>
      <w:r w:rsidRPr="0042058C">
        <w:rPr>
          <w:rFonts w:ascii="Times New Roman" w:eastAsia="Times New Roman" w:hAnsi="Times New Roman" w:cs="Times New Roman"/>
          <w:color w:val="00000A"/>
          <w:sz w:val="28"/>
          <w:szCs w:val="28"/>
          <w:lang w:eastAsia="ru-RU"/>
        </w:rPr>
        <w:tab/>
        <w:t>распределительный газопровод низкого давления – СТ 108 протяженность – 100 м, с. Донское, по ул. Титова;</w:t>
      </w:r>
    </w:p>
    <w:p w:rsidR="0042058C" w:rsidRPr="0042058C" w:rsidRDefault="0042058C" w:rsidP="0042058C">
      <w:pPr>
        <w:tabs>
          <w:tab w:val="left" w:pos="709"/>
        </w:tabs>
        <w:spacing w:after="0"/>
        <w:jc w:val="both"/>
        <w:rPr>
          <w:rFonts w:ascii="Times New Roman" w:eastAsia="Times New Roman" w:hAnsi="Times New Roman" w:cs="Times New Roman"/>
          <w:color w:val="00000A"/>
          <w:sz w:val="28"/>
          <w:szCs w:val="28"/>
          <w:lang w:eastAsia="ru-RU"/>
        </w:rPr>
      </w:pPr>
      <w:r w:rsidRPr="0042058C">
        <w:rPr>
          <w:rFonts w:ascii="Times New Roman" w:eastAsia="Times New Roman" w:hAnsi="Times New Roman" w:cs="Times New Roman"/>
          <w:color w:val="00000A"/>
          <w:sz w:val="28"/>
          <w:szCs w:val="28"/>
          <w:lang w:eastAsia="ru-RU"/>
        </w:rPr>
        <w:tab/>
        <w:t>распределительный газопровод низкого давления. ПЭ 110, протяженность – 80 м, с. Донское, от ул. Садовой до ул. Ворошилова.</w:t>
      </w:r>
    </w:p>
    <w:p w:rsidR="0042058C" w:rsidRPr="0042058C" w:rsidRDefault="0042058C" w:rsidP="0042058C">
      <w:pPr>
        <w:spacing w:after="0"/>
        <w:ind w:firstLine="709"/>
        <w:jc w:val="both"/>
        <w:rPr>
          <w:rFonts w:ascii="Times New Roman" w:eastAsia="Times New Roman" w:hAnsi="Times New Roman" w:cs="Times New Roman"/>
          <w:color w:val="00000A"/>
          <w:sz w:val="28"/>
          <w:szCs w:val="28"/>
          <w:lang w:eastAsia="ru-RU"/>
        </w:rPr>
      </w:pPr>
      <w:r w:rsidRPr="0042058C">
        <w:rPr>
          <w:rFonts w:ascii="Times New Roman" w:eastAsia="Times New Roman" w:hAnsi="Times New Roman" w:cs="Times New Roman"/>
          <w:color w:val="00000A"/>
          <w:sz w:val="28"/>
          <w:szCs w:val="28"/>
          <w:lang w:eastAsia="ru-RU"/>
        </w:rPr>
        <w:t>Перечень объектов местного значения указан в Томе 1 настоящего проекта генерального плана. Реализация мероприятий, предусмотренных данным проектом, направлена на развитие внутренних систем газоснабжения низкого давления внутри населенных пунктов Труновского муниципального округа.</w:t>
      </w:r>
    </w:p>
    <w:p w:rsidR="0042058C" w:rsidRPr="0042058C" w:rsidRDefault="0042058C" w:rsidP="004830AF">
      <w:pPr>
        <w:spacing w:after="0"/>
        <w:ind w:firstLine="708"/>
        <w:jc w:val="both"/>
        <w:outlineLvl w:val="1"/>
        <w:rPr>
          <w:rFonts w:ascii="Times New Roman" w:eastAsia="Times New Roman" w:hAnsi="Times New Roman" w:cs="Times New Roman"/>
          <w:sz w:val="28"/>
          <w:szCs w:val="28"/>
          <w:lang w:eastAsia="ru-RU"/>
        </w:rPr>
      </w:pPr>
      <w:bookmarkStart w:id="107" w:name="_Toc85173335"/>
      <w:r w:rsidRPr="0042058C">
        <w:rPr>
          <w:rFonts w:ascii="Times New Roman" w:eastAsia="Calibri" w:hAnsi="Times New Roman" w:cs="Times New Roman"/>
          <w:sz w:val="28"/>
          <w:szCs w:val="28"/>
        </w:rPr>
        <w:t xml:space="preserve">8. </w:t>
      </w:r>
      <w:bookmarkEnd w:id="107"/>
      <w:r w:rsidRPr="0042058C">
        <w:rPr>
          <w:rFonts w:ascii="Times New Roman" w:eastAsia="Times New Roman" w:hAnsi="Times New Roman" w:cs="Times New Roman"/>
          <w:bCs/>
          <w:sz w:val="28"/>
          <w:szCs w:val="28"/>
          <w:lang w:eastAsia="ru-RU"/>
        </w:rPr>
        <w:t>Градостроительные ограничения</w:t>
      </w:r>
      <w:r w:rsidRPr="0042058C">
        <w:rPr>
          <w:rFonts w:ascii="Times New Roman" w:eastAsia="Times New Roman" w:hAnsi="Times New Roman" w:cs="Times New Roman"/>
          <w:sz w:val="28"/>
          <w:szCs w:val="28"/>
          <w:lang w:eastAsia="ru-RU"/>
        </w:rPr>
        <w:t> – ряд требований, ограничивающих градостроительную деятельность в конкретном территориальном образовании.</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Установление зон с особыми условиями использования территорий выступает основным мероприятием по охране окружающей среды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поддержанию благоприятной санитарно-эпидемиологической обстановки,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условиях градостроительного развития территории является.</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Зоны с особыми условиями использования территорий представлены:</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санитарно-защитными зонами предприятий, сооружений и иных объектов;</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водоохранными зонами и прибрежными защитными полосами;</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защитными зонами объектов культурного наследия;</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зонами санитарной охр</w:t>
      </w:r>
      <w:r w:rsidR="00E3531F">
        <w:rPr>
          <w:rFonts w:ascii="Times New Roman" w:eastAsia="Times New Roman" w:hAnsi="Times New Roman" w:cs="Times New Roman"/>
          <w:sz w:val="28"/>
          <w:szCs w:val="28"/>
          <w:lang w:eastAsia="ru-RU"/>
        </w:rPr>
        <w:t>аны источников водоснабжения</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водопроводов питьевого назначения;</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береговыми полосами водных объектов;</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санитарно-защитными зонами, охранными зонами и санитарными разрывами транспортной и инженерной инфраструктуры;</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придорожными полосами автомобильных дорог;</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зонами затопления и подтопления.</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bCs/>
          <w:sz w:val="28"/>
          <w:szCs w:val="28"/>
          <w:lang w:eastAsia="ru-RU"/>
        </w:rPr>
        <w:t xml:space="preserve">Санитарно-защитная зона (СЗЗ) </w:t>
      </w:r>
      <w:r w:rsidRPr="0042058C">
        <w:rPr>
          <w:rFonts w:ascii="Times New Roman" w:eastAsia="Times New Roman" w:hAnsi="Times New Roman" w:cs="Times New Roman"/>
          <w:sz w:val="28"/>
          <w:szCs w:val="28"/>
          <w:lang w:eastAsia="ru-RU"/>
        </w:rPr>
        <w:t xml:space="preserve">– 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этой зоне не допускается размещать жилую застройку, рекреационную зону, зону отдыха, курортов, территории садоводческих хозяйств, спортивные сооружения, детские площадки, образовательные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воспитательные учреждения, учебно-профилактические и оздоровительные учреждения общего пользования. В СЗЗ от промышленности также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разрешено размещать производство лекарственных объектов, лекарственных средств, склады продуктов, фармацевтические предприятия, пищевые отрасли, комплексы водопроводных сооружений. СЗЗ предназначены для уменьшения воздействия загрязнения на атмосферный воздух (химического, биологического, физического) до значений, установленных гигиеническими нормами. По своему функциональному назначению СЗЗ является защитным барьером, обеспечивающим уровень безопасности населения при эксплуатации объектов в штатном режиме.</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bCs/>
          <w:sz w:val="28"/>
          <w:szCs w:val="28"/>
          <w:lang w:eastAsia="ru-RU"/>
        </w:rPr>
        <w:t>Охранная зона</w:t>
      </w:r>
      <w:r w:rsidRPr="0042058C">
        <w:rPr>
          <w:rFonts w:ascii="Times New Roman" w:eastAsia="Times New Roman" w:hAnsi="Times New Roman" w:cs="Times New Roman"/>
          <w:sz w:val="28"/>
          <w:szCs w:val="28"/>
          <w:lang w:eastAsia="ru-RU"/>
        </w:rPr>
        <w:t xml:space="preserve"> – территория, в пределах которой устанавливается особый режим использования земли, ограниченный хозяйственной деятельностью, запрещающий строительство за исключением применения специальных мер, направленных на регенерацию объектов. </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целях обеспечения сохранности объектов культурного наследия (архитектурные ансамбли, градостроительные комплексы, исторические центры городов, отдельные кварталы, площади, улицы, достопримечательные места, отдельно стоящие здания, произведения садово-паркового ландшафтного искусства, памятники археологии, произведения монументального искусства) в их исторической среде на сопряженной с ними территории устанавливаются зоны охраны объектов культурного наследия. </w:t>
      </w:r>
    </w:p>
    <w:p w:rsidR="0042058C" w:rsidRPr="0042058C" w:rsidRDefault="0042058C" w:rsidP="0042058C">
      <w:pPr>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Ограничения на использование территорий для осуществления градостроительной деятельности устанавливаются в следующих зонах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особыми условиями использования территорий.</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Санитарно-защитные зоны предприятий, сооружений и иных объектов. В зависимости от характеристики выбросов для промышленного объекта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производства размер санитарно-защитной зоны устанавливается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границы промплощадки и/или от конкретного источника выбросов загрязняющих веществ.</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атмосферный воздух и физического воздействия источников промышленных объектов и производств, входящих в единую зону.</w:t>
      </w:r>
    </w:p>
    <w:p w:rsidR="0042058C" w:rsidRPr="0042058C" w:rsidRDefault="0042058C" w:rsidP="0042058C">
      <w:pPr>
        <w:tabs>
          <w:tab w:val="left" w:pos="993"/>
        </w:tabs>
        <w:spacing w:after="0"/>
        <w:ind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Представленные в следующей таблице размеры санитарно-защитных зон являются ориентировочными (нормативными) для объектов, расположенных на территории округа. Более точные значения зон необходимо определять посредством создания проектов санитарно-защитных зон для каждого конкретного объекта.</w:t>
      </w:r>
    </w:p>
    <w:p w:rsidR="0042058C" w:rsidRPr="0042058C" w:rsidRDefault="0042058C" w:rsidP="0042058C">
      <w:pPr>
        <w:tabs>
          <w:tab w:val="left" w:pos="993"/>
        </w:tabs>
        <w:spacing w:after="0"/>
        <w:ind w:firstLine="709"/>
        <w:jc w:val="center"/>
        <w:rPr>
          <w:rFonts w:ascii="Times New Roman" w:eastAsia="Times New Roman" w:hAnsi="Times New Roman" w:cs="Times New Roman"/>
          <w:sz w:val="28"/>
          <w:szCs w:val="28"/>
          <w:lang w:eastAsia="ru-RU"/>
        </w:rPr>
      </w:pPr>
    </w:p>
    <w:p w:rsidR="0042058C" w:rsidRPr="0042058C" w:rsidRDefault="0042058C" w:rsidP="0042058C">
      <w:pPr>
        <w:keepNext/>
        <w:spacing w:after="0" w:line="240" w:lineRule="auto"/>
        <w:jc w:val="right"/>
        <w:rPr>
          <w:rFonts w:ascii="Times New Roman" w:eastAsia="Calibri" w:hAnsi="Times New Roman" w:cs="Times New Roman"/>
          <w:bCs/>
          <w:noProof/>
          <w:sz w:val="28"/>
          <w:szCs w:val="28"/>
        </w:rPr>
      </w:pPr>
      <w:r w:rsidRPr="0042058C">
        <w:rPr>
          <w:rFonts w:ascii="Times New Roman" w:eastAsia="Calibri" w:hAnsi="Times New Roman" w:cs="Times New Roman"/>
          <w:bCs/>
          <w:sz w:val="28"/>
          <w:szCs w:val="28"/>
        </w:rPr>
        <w:t xml:space="preserve">Таблица </w:t>
      </w:r>
      <w:r w:rsidR="00E3531F">
        <w:rPr>
          <w:rFonts w:ascii="Times New Roman" w:eastAsia="Calibri" w:hAnsi="Times New Roman" w:cs="Times New Roman"/>
          <w:bCs/>
          <w:noProof/>
          <w:sz w:val="28"/>
          <w:szCs w:val="28"/>
        </w:rPr>
        <w:t>10</w:t>
      </w:r>
      <w:r w:rsidR="00E86957">
        <w:rPr>
          <w:rFonts w:ascii="Times New Roman" w:eastAsia="Calibri" w:hAnsi="Times New Roman" w:cs="Times New Roman"/>
          <w:bCs/>
          <w:noProof/>
          <w:sz w:val="28"/>
          <w:szCs w:val="28"/>
        </w:rPr>
        <w:t>8</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Нормативные размеры СЗЗ от промышленных и иных объектов</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18"/>
        <w:gridCol w:w="4304"/>
        <w:gridCol w:w="4446"/>
      </w:tblGrid>
      <w:tr w:rsidR="0042058C" w:rsidRPr="0042058C" w:rsidTr="0042058C">
        <w:trPr>
          <w:tblHeader/>
        </w:trPr>
        <w:tc>
          <w:tcPr>
            <w:tcW w:w="37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w:t>
            </w: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Назначение объекта</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Нормативный размер, м</w:t>
            </w:r>
          </w:p>
        </w:tc>
      </w:tr>
      <w:tr w:rsidR="0042058C" w:rsidRPr="0042058C" w:rsidTr="0042058C">
        <w:trPr>
          <w:tblHeader/>
        </w:trPr>
        <w:tc>
          <w:tcPr>
            <w:tcW w:w="5000" w:type="pct"/>
            <w:gridSpan w:val="3"/>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Санитарно-защитные зоны</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Скотомогильники</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1000</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Полигоны ТКО</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1000</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Промышленные и сельскохозяйственные предприятия I, II, III, IV, V классов опасности</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1000, 500, 300, 100, 50</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 xml:space="preserve">Очистные сооружения </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500</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Автозаправочные станции</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100</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Кладбища</w:t>
            </w:r>
          </w:p>
        </w:tc>
        <w:tc>
          <w:tcPr>
            <w:tcW w:w="2348"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500, 300, 100, 50</w:t>
            </w:r>
          </w:p>
        </w:tc>
      </w:tr>
      <w:tr w:rsidR="0042058C" w:rsidRPr="0042058C" w:rsidTr="0042058C">
        <w:trPr>
          <w:tblHeader/>
        </w:trPr>
        <w:tc>
          <w:tcPr>
            <w:tcW w:w="5000" w:type="pct"/>
            <w:gridSpan w:val="3"/>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A"/>
                <w:sz w:val="20"/>
                <w:szCs w:val="20"/>
                <w:lang w:eastAsia="ru-RU"/>
              </w:rPr>
            </w:pPr>
            <w:r w:rsidRPr="0042058C">
              <w:rPr>
                <w:rFonts w:ascii="Times New Roman" w:eastAsia="Times New Roman" w:hAnsi="Times New Roman" w:cs="Times New Roman"/>
                <w:color w:val="00000A"/>
                <w:sz w:val="20"/>
                <w:szCs w:val="20"/>
                <w:lang w:eastAsia="ru-RU"/>
              </w:rPr>
              <w:t>Санитарный разрыв</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ja-JP"/>
              </w:rPr>
            </w:pPr>
            <w:r w:rsidRPr="0042058C">
              <w:rPr>
                <w:rFonts w:ascii="Times New Roman" w:eastAsia="Times New Roman" w:hAnsi="Times New Roman" w:cs="Times New Roman"/>
                <w:color w:val="000000"/>
                <w:sz w:val="20"/>
                <w:szCs w:val="20"/>
                <w:lang w:eastAsia="ja-JP"/>
              </w:rPr>
              <w:t xml:space="preserve">Магистральный газопровод </w:t>
            </w:r>
          </w:p>
        </w:tc>
        <w:tc>
          <w:tcPr>
            <w:tcW w:w="2348"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ja-JP"/>
              </w:rPr>
            </w:pPr>
            <w:r w:rsidRPr="0042058C">
              <w:rPr>
                <w:rFonts w:ascii="Times New Roman" w:eastAsia="Times New Roman" w:hAnsi="Times New Roman" w:cs="Times New Roman"/>
                <w:color w:val="000000"/>
                <w:sz w:val="20"/>
                <w:szCs w:val="20"/>
                <w:lang w:eastAsia="ja-JP"/>
              </w:rPr>
              <w:t xml:space="preserve">350; 150 </w:t>
            </w:r>
          </w:p>
        </w:tc>
      </w:tr>
      <w:tr w:rsidR="0042058C" w:rsidRPr="0042058C" w:rsidTr="0042058C">
        <w:tc>
          <w:tcPr>
            <w:tcW w:w="379" w:type="pct"/>
            <w:shd w:val="clear" w:color="auto" w:fill="auto"/>
            <w:vAlign w:val="center"/>
          </w:tcPr>
          <w:p w:rsidR="0042058C" w:rsidRPr="0042058C" w:rsidRDefault="0042058C" w:rsidP="00953F17">
            <w:pPr>
              <w:widowControl w:val="0"/>
              <w:numPr>
                <w:ilvl w:val="0"/>
                <w:numId w:val="34"/>
              </w:numPr>
              <w:autoSpaceDE w:val="0"/>
              <w:autoSpaceDN w:val="0"/>
              <w:adjustRightInd w:val="0"/>
              <w:spacing w:after="160" w:line="256" w:lineRule="auto"/>
              <w:jc w:val="center"/>
              <w:rPr>
                <w:rFonts w:ascii="Times New Roman" w:eastAsia="Times New Roman" w:hAnsi="Times New Roman" w:cs="Times New Roman"/>
                <w:color w:val="00000A"/>
                <w:sz w:val="20"/>
                <w:szCs w:val="20"/>
                <w:lang w:eastAsia="ru-RU"/>
              </w:rPr>
            </w:pPr>
          </w:p>
        </w:tc>
        <w:tc>
          <w:tcPr>
            <w:tcW w:w="2273"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ja-JP"/>
              </w:rPr>
            </w:pPr>
            <w:r w:rsidRPr="0042058C">
              <w:rPr>
                <w:rFonts w:ascii="Times New Roman" w:eastAsia="Times New Roman" w:hAnsi="Times New Roman" w:cs="Times New Roman"/>
                <w:color w:val="000000"/>
                <w:sz w:val="20"/>
                <w:szCs w:val="20"/>
                <w:lang w:eastAsia="ja-JP"/>
              </w:rPr>
              <w:t xml:space="preserve">Магистральный нефтепровод </w:t>
            </w:r>
          </w:p>
        </w:tc>
        <w:tc>
          <w:tcPr>
            <w:tcW w:w="2348" w:type="pct"/>
            <w:shd w:val="clear" w:color="auto" w:fill="auto"/>
            <w:vAlign w:val="center"/>
          </w:tcPr>
          <w:p w:rsidR="0042058C" w:rsidRPr="0042058C" w:rsidRDefault="0042058C" w:rsidP="0042058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ja-JP"/>
              </w:rPr>
            </w:pPr>
            <w:r w:rsidRPr="0042058C">
              <w:rPr>
                <w:rFonts w:ascii="Times New Roman" w:eastAsia="Times New Roman" w:hAnsi="Times New Roman" w:cs="Times New Roman"/>
                <w:color w:val="000000"/>
                <w:sz w:val="20"/>
                <w:szCs w:val="20"/>
                <w:lang w:eastAsia="ja-JP"/>
              </w:rPr>
              <w:t xml:space="preserve">100 </w:t>
            </w:r>
          </w:p>
        </w:tc>
      </w:tr>
    </w:tbl>
    <w:p w:rsidR="0042058C" w:rsidRPr="0042058C" w:rsidRDefault="0042058C" w:rsidP="0042058C">
      <w:pPr>
        <w:tabs>
          <w:tab w:val="left" w:pos="993"/>
        </w:tabs>
        <w:spacing w:after="0"/>
        <w:ind w:left="57" w:firstLine="709"/>
        <w:jc w:val="both"/>
        <w:rPr>
          <w:rFonts w:ascii="Times New Roman" w:eastAsia="Times New Roman" w:hAnsi="Times New Roman" w:cs="Times New Roman"/>
          <w:color w:val="00000A"/>
          <w:sz w:val="24"/>
          <w:szCs w:val="24"/>
          <w:lang w:eastAsia="ru-RU"/>
        </w:rPr>
      </w:pP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Защитная зона объекта культурного наследия. Защитные зоны объектов культурного наследия не устанавливаются для объектов археологического наследия, некрополей, захоронений, расположенных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Федерального закона «Об объектах культурного наследия (памятниках истории и культуры) народов Российской Федерации» требования и ограничения.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Границы защитной зоны объекта культурного наследия устанавливаются: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для памятника, расположенного в границах населенного пункта,</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ансамбля, расположенного в границах населенного пункта,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Охранная зона газопроводов и систем газоснабжения. Согласно Постановления Правительства Российской Федерации от 20 ноября 2000 года №878 «Об утверждении Правил охраны газораспределительных сетей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изменениями на 17 мая 2016 года)»</w:t>
      </w:r>
      <w:r w:rsidRPr="0042058C">
        <w:rPr>
          <w:rFonts w:ascii="Times New Roman" w:eastAsia="Times New Roman" w:hAnsi="Times New Roman" w:cs="Times New Roman"/>
          <w:bCs/>
          <w:sz w:val="28"/>
          <w:szCs w:val="28"/>
          <w:lang w:eastAsia="ru-RU"/>
        </w:rPr>
        <w:t xml:space="preserve"> д</w:t>
      </w:r>
      <w:r w:rsidRPr="0042058C">
        <w:rPr>
          <w:rFonts w:ascii="Times New Roman" w:eastAsia="Times New Roman" w:hAnsi="Times New Roman" w:cs="Times New Roman"/>
          <w:sz w:val="28"/>
          <w:szCs w:val="28"/>
          <w:lang w:eastAsia="ru-RU"/>
        </w:rPr>
        <w:t>ля газораспределительных сетей устанавливаются следующие охранные зоны: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каждой стороны газопровода;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вдоль трасс подземных газопроводов из полиэтиленовых труб при использовании медного провода для обозначения трассы газопровода –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виде территории, ограниченной условными линиями, проходящими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расстоянии 3 метров от газопровода со стороны провода и 2 метров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противоположной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вокруг отдельно стоящих газорегуляторных пунктов – в виде территории, ограниченной замкнутой линией, проведенной на расстоянии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10 метров от границ этих объектов. Для газорегуляторных пунктов, пристроенных к зданиям, охранная зона не регламентируется;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вдоль подводных переходов газопроводов через судоходные </w:t>
      </w:r>
      <w:r w:rsidR="004830AF">
        <w:rPr>
          <w:rFonts w:ascii="Times New Roman" w:eastAsia="Times New Roman" w:hAnsi="Times New Roman" w:cs="Times New Roman"/>
          <w:sz w:val="28"/>
          <w:szCs w:val="28"/>
          <w:lang w:eastAsia="ru-RU"/>
        </w:rPr>
        <w:t xml:space="preserve">           </w:t>
      </w:r>
      <w:r w:rsidR="00E3531F">
        <w:rPr>
          <w:rFonts w:ascii="Times New Roman" w:eastAsia="Times New Roman" w:hAnsi="Times New Roman" w:cs="Times New Roman"/>
          <w:sz w:val="28"/>
          <w:szCs w:val="28"/>
          <w:lang w:eastAsia="ru-RU"/>
        </w:rPr>
        <w:t xml:space="preserve">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вдоль трасс межпоселковых газопроводов, проходящих по лесам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древесно-кустарниковой растительности – в виде просек шириной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Согласно Постановления Правительства Российской Федерации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от 8 сентября 2017 года №1083 «Об утверждении</w:t>
      </w:r>
      <w:r w:rsidRPr="0042058C">
        <w:rPr>
          <w:rFonts w:ascii="Times New Roman" w:eastAsia="Times New Roman" w:hAnsi="Times New Roman" w:cs="Times New Roman"/>
          <w:bCs/>
          <w:sz w:val="28"/>
          <w:szCs w:val="28"/>
          <w:lang w:eastAsia="ru-RU"/>
        </w:rPr>
        <w:t xml:space="preserve"> Правил охраны магистральных газопроводов и о внесении изменений в Положение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(с изменениями на 15 июля 2019 года)» о</w:t>
      </w:r>
      <w:r w:rsidRPr="0042058C">
        <w:rPr>
          <w:rFonts w:ascii="Times New Roman" w:eastAsia="Times New Roman" w:hAnsi="Times New Roman" w:cs="Times New Roman"/>
          <w:sz w:val="28"/>
          <w:szCs w:val="28"/>
          <w:lang w:eastAsia="ru-RU"/>
        </w:rPr>
        <w:t>хранные зоны объектов магистральных газопроводов устанавливаются: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с каждой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вдоль линейной части многониточного магистрального газопровода - </w:t>
      </w:r>
      <w:r w:rsidR="00E3531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w:t>
      </w:r>
      <w:r w:rsidR="004830AF">
        <w:rPr>
          <w:rFonts w:ascii="Times New Roman" w:eastAsia="Times New Roman" w:hAnsi="Times New Roman" w:cs="Times New Roman"/>
          <w:bCs/>
          <w:sz w:val="28"/>
          <w:szCs w:val="28"/>
          <w:lang w:eastAsia="ru-RU"/>
        </w:rPr>
        <w:t xml:space="preserve">           </w:t>
      </w:r>
      <w:r w:rsidR="00E3531F">
        <w:rPr>
          <w:rFonts w:ascii="Times New Roman" w:eastAsia="Times New Roman" w:hAnsi="Times New Roman" w:cs="Times New Roman"/>
          <w:bCs/>
          <w:sz w:val="28"/>
          <w:szCs w:val="28"/>
          <w:lang w:eastAsia="ru-RU"/>
        </w:rPr>
        <w:t xml:space="preserve">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с каждой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на 100 метров с каждой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вокруг наземных сооружений подземных хранилищ газа - в виде территории, ограниченной условной замкнутой линией, отстоящей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от внешней границы указанных объектов на 100 метров с каждой стороны.</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Охранная зона объектов электросетевого хозяйства (вдоль линий электропередачи, вокруг подстанций). </w:t>
      </w:r>
      <w:r w:rsidRPr="0042058C">
        <w:rPr>
          <w:rFonts w:ascii="Times New Roman" w:eastAsia="Times New Roman" w:hAnsi="Times New Roman" w:cs="Times New Roman"/>
          <w:bCs/>
          <w:sz w:val="28"/>
          <w:szCs w:val="28"/>
          <w:lang w:eastAsia="ru-RU"/>
        </w:rPr>
        <w:t xml:space="preserve">Действующие правила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по определению охранной зоны для ЛЭП определены согласно </w:t>
      </w:r>
      <w:hyperlink r:id="rId47" w:anchor="1" w:history="1">
        <w:r w:rsidRPr="0042058C">
          <w:rPr>
            <w:rFonts w:ascii="Times New Roman" w:eastAsia="Times New Roman" w:hAnsi="Times New Roman" w:cs="Times New Roman"/>
            <w:sz w:val="28"/>
            <w:szCs w:val="28"/>
            <w:lang w:eastAsia="ru-RU"/>
          </w:rPr>
          <w:t>постановлению №160 правительства РФ</w:t>
        </w:r>
      </w:hyperlink>
      <w:r w:rsidRPr="0042058C">
        <w:rPr>
          <w:rFonts w:ascii="Times New Roman" w:eastAsia="Times New Roman" w:hAnsi="Times New Roman" w:cs="Times New Roman"/>
          <w:bCs/>
          <w:sz w:val="28"/>
          <w:szCs w:val="28"/>
          <w:lang w:eastAsia="ru-RU"/>
        </w:rPr>
        <w:t xml:space="preserve"> от 24 февраля 2009 года.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в общем случае гласят, что охранной зоной для воздушной ЛЭП является вертикальная плоскость на заданном расстоянии от крайних проводов силовой линии. Само же расстояние меняется в зависимости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от мощности линии. Для воздушных линий в зависимости от мощности они будут составлять:</w:t>
      </w:r>
    </w:p>
    <w:p w:rsidR="0042058C" w:rsidRPr="0042058C" w:rsidRDefault="0042058C" w:rsidP="0042058C">
      <w:pPr>
        <w:tabs>
          <w:tab w:val="left" w:pos="709"/>
        </w:tabs>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до 1 кВт – до 12 м;</w:t>
      </w:r>
      <w:r w:rsidRPr="0042058C">
        <w:rPr>
          <w:rFonts w:ascii="Times New Roman" w:eastAsia="Times New Roman" w:hAnsi="Times New Roman" w:cs="Times New Roman"/>
          <w:bCs/>
          <w:sz w:val="28"/>
          <w:szCs w:val="28"/>
          <w:lang w:eastAsia="ru-RU"/>
        </w:rPr>
        <w:tab/>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1-20 кВт – 10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35 кВт – 15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110 кВт – 20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150-220 кВт – 25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300-500 кВт – 30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750 кВт – 40 м;</w:t>
      </w:r>
    </w:p>
    <w:p w:rsidR="0042058C" w:rsidRPr="0042058C" w:rsidRDefault="0042058C" w:rsidP="0042058C">
      <w:pPr>
        <w:spacing w:after="0"/>
        <w:ind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1150 кВт – 55 м</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Если силовые линии проложены в границах населенных пунктов под тротуаром, то:</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до 1 кВт допустимая охранная зона от крайних проводов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0,6 м до фундамента здания и 1 м до проезжей части.</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для линий свыше 1 и до 20 кВт – охранная зона составит 5 метров.</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 местах, где линии ЛЭП пересекают судоходные реки, охранная зона для них составит 100 метров. Для несудоходных рек охранные зоны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не меняются.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 охранных зонах запрещается осуществлять любые действия, которые могут нарушить безопасную работу объектов электросетевого хозяйства,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возникновение пожаров.</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Охранная зона линий и сооружений связи. На трассах кабельных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воздушных линий связи и линий радиофикации:</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устанавливаются охранные зоны с особыми условиями использования:</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менее чем на 2 метра с каждой стороны;</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 xml:space="preserve">для наземных и подземных необслуживаемых усилительных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менее чем на 3 метра и от контуров заземления не менее чем на 2 метра;</w:t>
      </w:r>
    </w:p>
    <w:p w:rsidR="0042058C" w:rsidRPr="0042058C" w:rsidRDefault="0042058C" w:rsidP="0042058C">
      <w:pPr>
        <w:tabs>
          <w:tab w:val="left" w:pos="709"/>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создаются просеки в лесных массивах и зеленых насаждениях:</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2058C" w:rsidRPr="0042058C" w:rsidRDefault="0042058C" w:rsidP="0042058C">
      <w:pPr>
        <w:tabs>
          <w:tab w:val="left" w:pos="709"/>
        </w:tabs>
        <w:spacing w:after="0"/>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ab/>
        <w:t>вдоль трассы кабеля связи - шириной не менее 6 метров (по 3 метра</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 с каждой стороны от кабеля связи);</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все работы в охранных зонах линий и сооружений связи, линий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сооружений радиофикации выполняются с соблюдением действующих нормативных документов по правилам производства и приемки работ.</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Порядок использования земельных участков, расположенных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охранных зонах сооружений связи и радиофикации, регулируется земельным законодательством Российской Федерации.</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Придорожные полосы автомобильных дорог. Для автомобильных дорог в соответствии с ст. 26 Федерального закона от 08.11.2007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№257-ФЗ «Об автомобильных дорогах и о дорожной деятельности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в Российской Федерации и о внесении изменений в отдельные законодательные акты Российской Федерации» устанавливаются придорожные полосы автомобильных дорог – территории, которые прилегают с обеих сторон к полосе отвода автомобильной дороги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зависимости от класса и (или) категории автомобильных дорог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учетом перспектив их развития ширина каждой придорожной полосы устанавливается в размере:</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bookmarkStart w:id="108" w:name="dst100288"/>
      <w:bookmarkEnd w:id="108"/>
      <w:r w:rsidRPr="0042058C">
        <w:rPr>
          <w:rFonts w:ascii="Times New Roman" w:eastAsia="Times New Roman" w:hAnsi="Times New Roman" w:cs="Times New Roman"/>
          <w:sz w:val="28"/>
          <w:szCs w:val="28"/>
          <w:lang w:eastAsia="ru-RU"/>
        </w:rPr>
        <w:t xml:space="preserve">семидесяти пяти метров – для автомобильных дорог первой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второй категорий;</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bookmarkStart w:id="109" w:name="dst100289"/>
      <w:bookmarkEnd w:id="109"/>
      <w:r w:rsidRPr="0042058C">
        <w:rPr>
          <w:rFonts w:ascii="Times New Roman" w:eastAsia="Times New Roman" w:hAnsi="Times New Roman" w:cs="Times New Roman"/>
          <w:sz w:val="28"/>
          <w:szCs w:val="28"/>
          <w:lang w:eastAsia="ru-RU"/>
        </w:rPr>
        <w:t>пятидесяти метров – для автомобильных дорог третьей и четвертой категорий;</w:t>
      </w:r>
    </w:p>
    <w:p w:rsidR="0042058C" w:rsidRPr="0042058C" w:rsidRDefault="0042058C" w:rsidP="0042058C">
      <w:pPr>
        <w:tabs>
          <w:tab w:val="left" w:pos="993"/>
        </w:tabs>
        <w:spacing w:after="0"/>
        <w:ind w:left="57" w:firstLine="709"/>
        <w:jc w:val="both"/>
        <w:rPr>
          <w:rFonts w:ascii="Times New Roman" w:eastAsia="Times New Roman" w:hAnsi="Times New Roman" w:cs="Times New Roman"/>
          <w:sz w:val="28"/>
          <w:szCs w:val="28"/>
          <w:lang w:eastAsia="ru-RU"/>
        </w:rPr>
      </w:pPr>
      <w:bookmarkStart w:id="110" w:name="dst100290"/>
      <w:bookmarkEnd w:id="110"/>
      <w:r w:rsidRPr="0042058C">
        <w:rPr>
          <w:rFonts w:ascii="Times New Roman" w:eastAsia="Times New Roman" w:hAnsi="Times New Roman" w:cs="Times New Roman"/>
          <w:sz w:val="28"/>
          <w:szCs w:val="28"/>
          <w:lang w:eastAsia="ru-RU"/>
        </w:rPr>
        <w:t>двадцати пяти метров – для автомобильных дорог пятой категории;</w:t>
      </w:r>
    </w:p>
    <w:p w:rsidR="0042058C" w:rsidRPr="0042058C" w:rsidRDefault="0042058C" w:rsidP="0042058C">
      <w:pPr>
        <w:tabs>
          <w:tab w:val="left" w:pos="993"/>
        </w:tabs>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Водоохранные зоны, прибрежные защитные полосы, береговая полоса. </w:t>
      </w:r>
      <w:r w:rsidRPr="0042058C">
        <w:rPr>
          <w:rFonts w:ascii="Times New Roman" w:eastAsia="Times New Roman" w:hAnsi="Times New Roman" w:cs="Times New Roman"/>
          <w:bCs/>
          <w:sz w:val="28"/>
          <w:szCs w:val="28"/>
          <w:lang w:eastAsia="ru-RU"/>
        </w:rPr>
        <w:t>Границы и использование береговых полос общего пользования водных объектов зафиксированы в соответствии с требованиями Водного кодекса Российской Федерации от 03.06.2006 №74-ФЗ.</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Ширина береговой полосы составляет 20 м,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5 м</w:t>
      </w:r>
      <w:r w:rsidR="004830AF">
        <w:rPr>
          <w:rFonts w:ascii="Times New Roman" w:eastAsia="Times New Roman" w:hAnsi="Times New Roman" w:cs="Times New Roman"/>
          <w:bCs/>
          <w:sz w:val="28"/>
          <w:szCs w:val="28"/>
          <w:lang w:eastAsia="ru-RU"/>
        </w:rPr>
        <w:t>.</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На территории береговых полос запрещается любая деятельность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градостроительные изменения, влекущие за собой загрязнение бассейна водосбора, засорение, заиление и истощение водных объектов.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растительного мира.</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Размеры и границы водоохранных зон, а также режим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их использования утверждены статьей 65 Водного кодекса РФ.</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Ширина водоохраной зоны рек или ручьев устанавливается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от их истока для рек или ручьев протяженностью:</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до десяти километров – в размере 50 метров;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от десяти до пятидесяти километров – в размере 100 метров;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от пятидесяти километров и более – в размере 200 метров.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Радиус водоохранной зоны для истоков реки, ручья устанавливается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в размере пятидесяти метров.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Ширина водоохранной зоны озера, водохранилища, за исключением озера, расположенного внутри болота, или озера, водохранилища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Прибрежную защитную полосу водных объектов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более градуса).</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Для расположенных в границах болот проточных и сточных озер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соответствующих водотоков ширина прибрежной защитной полосы устанавливается в размере 50 м</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Зоны затопления и подтопления.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 xml:space="preserve">Собственник водного объекта обязан осуществлять меры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по предотвращению негативного воздействия вод и ликвидации его последствий. Меры по предотвращению негативного воздействия вод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 xml:space="preserve">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24-27 Водного кодекса РФ.</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Зоны затопления определяются в отношении</w:t>
      </w:r>
      <w:r w:rsidRPr="0042058C">
        <w:rPr>
          <w:rFonts w:ascii="Times New Roman" w:eastAsia="Times New Roman" w:hAnsi="Times New Roman" w:cs="Times New Roman"/>
          <w:sz w:val="28"/>
          <w:szCs w:val="28"/>
          <w:vertAlign w:val="superscript"/>
          <w:lang w:eastAsia="ru-RU"/>
        </w:rPr>
        <w:footnoteReference w:id="97"/>
      </w:r>
      <w:r w:rsidRPr="0042058C">
        <w:rPr>
          <w:rFonts w:ascii="Times New Roman" w:eastAsia="Times New Roman" w:hAnsi="Times New Roman" w:cs="Times New Roman"/>
          <w:bCs/>
          <w:sz w:val="28"/>
          <w:szCs w:val="28"/>
          <w:lang w:eastAsia="ru-RU"/>
        </w:rPr>
        <w:t>:</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 xml:space="preserve">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территорий, прилегающих к устьевым участкам водотоков, затапливаемых в результате нагонных явлений расчетной обеспеченности;</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территорий, прилегающих к естественным водоемам, затапливаемых при уровнях воды однопроцентной обеспеченности;</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2058C" w:rsidRPr="0042058C" w:rsidRDefault="0042058C" w:rsidP="0042058C">
      <w:pPr>
        <w:tabs>
          <w:tab w:val="left" w:pos="709"/>
        </w:tabs>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В границах зон подтопления определяются:</w:t>
      </w:r>
    </w:p>
    <w:p w:rsidR="0042058C" w:rsidRPr="0042058C" w:rsidRDefault="0042058C" w:rsidP="0042058C">
      <w:pPr>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территории сильного подтопления – при глубине залегания грунтовых вод – менее 0,3 м;</w:t>
      </w:r>
    </w:p>
    <w:p w:rsidR="0042058C" w:rsidRPr="0042058C" w:rsidRDefault="0042058C" w:rsidP="0042058C">
      <w:pPr>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территории умеренного подтопления – при глубине залегания грунтовых вод от 0,3-0,7 до 1,2-2 м от поверхности;</w:t>
      </w:r>
    </w:p>
    <w:p w:rsidR="0042058C" w:rsidRPr="0042058C" w:rsidRDefault="0042058C" w:rsidP="0042058C">
      <w:pPr>
        <w:spacing w:after="0"/>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bCs/>
          <w:sz w:val="28"/>
          <w:szCs w:val="28"/>
          <w:lang w:eastAsia="ru-RU"/>
        </w:rPr>
        <w:tab/>
        <w:t>территории слабого подтопления – при глубине залегания грунтовых вод от 2 до 3 м.</w:t>
      </w:r>
    </w:p>
    <w:p w:rsidR="0042058C" w:rsidRPr="0042058C" w:rsidRDefault="0042058C" w:rsidP="0042058C">
      <w:pPr>
        <w:spacing w:after="0"/>
        <w:ind w:left="57" w:firstLine="709"/>
        <w:jc w:val="both"/>
        <w:rPr>
          <w:rFonts w:ascii="Times New Roman" w:eastAsia="Times New Roman" w:hAnsi="Times New Roman" w:cs="Times New Roman"/>
          <w:bCs/>
          <w:sz w:val="28"/>
          <w:szCs w:val="28"/>
          <w:lang w:eastAsia="ru-RU"/>
        </w:rPr>
      </w:pPr>
      <w:r w:rsidRPr="0042058C">
        <w:rPr>
          <w:rFonts w:ascii="Times New Roman" w:eastAsia="Times New Roman" w:hAnsi="Times New Roman" w:cs="Times New Roman"/>
          <w:sz w:val="28"/>
          <w:szCs w:val="28"/>
          <w:lang w:eastAsia="ru-RU"/>
        </w:rPr>
        <w:t xml:space="preserve">Зоны санитарной охраны источников водоснабжения и водопроводов питьевого назначения. </w:t>
      </w:r>
      <w:r w:rsidRPr="0042058C">
        <w:rPr>
          <w:rFonts w:ascii="Times New Roman" w:eastAsia="Times New Roman" w:hAnsi="Times New Roman" w:cs="Times New Roman"/>
          <w:bCs/>
          <w:sz w:val="28"/>
          <w:szCs w:val="28"/>
          <w:lang w:eastAsia="ru-RU"/>
        </w:rPr>
        <w:t xml:space="preserve">Границы зон санитарной охраны источников водоснабжения и водопроводов питьевого назначения (далее – ЗСО) определяются согласно Постановлению главного санитарного врача Российской Федерации от 14 марта 2002 года №10. ЗСО организуются </w:t>
      </w:r>
      <w:r w:rsidR="004830AF">
        <w:rPr>
          <w:rFonts w:ascii="Times New Roman" w:eastAsia="Times New Roman" w:hAnsi="Times New Roman" w:cs="Times New Roman"/>
          <w:bCs/>
          <w:sz w:val="28"/>
          <w:szCs w:val="28"/>
          <w:lang w:eastAsia="ru-RU"/>
        </w:rPr>
        <w:t xml:space="preserve">                  </w:t>
      </w:r>
      <w:r w:rsidRPr="0042058C">
        <w:rPr>
          <w:rFonts w:ascii="Times New Roman" w:eastAsia="Times New Roman" w:hAnsi="Times New Roman" w:cs="Times New Roman"/>
          <w:bCs/>
          <w:sz w:val="28"/>
          <w:szCs w:val="28"/>
          <w:lang w:eastAsia="ru-RU"/>
        </w:rPr>
        <w:t>на всех водопроводах, вне зависимости от ведомственной принадлежности, подающих воду как из поверхностных, так и из подземных источников.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Определение границ поясов ЗСО подземного источника. Границы первого пояса.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первого пояса ЗСО группы подземных водозаборов должна находиться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расстоянии не менее 30 и 50 м от крайних скважин.</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не менее 50 м от водозабора и не менее 100 м от инфильтрационных сооружений (бассейнов, каналов и др.).</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В границы первого пояса инфильтрационных водозаборов подземных вод включается прибрежная территория между водозабором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поверхностным водоемом, если расстояние между ними менее 150 м.</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Граница второго и третьего поясов. Определение границ второго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и третьего поясов ЗСО подземных источников водоснабжения для различных гидрогеологических условий проводится в соответствии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с методиками гидрогеологических расчетов и материалами СанПиН 2.1.4.1110-02.</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Определение границ поясов ЗСО поверхностного источника.</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Граница первого пояса ЗСО водопровода с поверхностным источником устанавливается с учетом конкретных условий, в следующих пределах:</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для водотоков:</w:t>
      </w:r>
    </w:p>
    <w:p w:rsidR="0042058C" w:rsidRPr="0042058C" w:rsidRDefault="0042058C" w:rsidP="0042058C">
      <w:pPr>
        <w:tabs>
          <w:tab w:val="left" w:pos="993"/>
        </w:tabs>
        <w:spacing w:after="0"/>
        <w:ind w:left="57"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вверх по течению - не менее 200 м от водозабора;</w:t>
      </w:r>
    </w:p>
    <w:p w:rsidR="0042058C" w:rsidRPr="0042058C" w:rsidRDefault="0042058C" w:rsidP="0042058C">
      <w:pPr>
        <w:tabs>
          <w:tab w:val="left" w:pos="993"/>
        </w:tabs>
        <w:spacing w:after="0"/>
        <w:ind w:left="57"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вниз по течению - не менее 100 м от водозабора;</w:t>
      </w:r>
    </w:p>
    <w:p w:rsidR="0042058C" w:rsidRPr="0042058C" w:rsidRDefault="0042058C" w:rsidP="0042058C">
      <w:pPr>
        <w:tabs>
          <w:tab w:val="left" w:pos="993"/>
        </w:tabs>
        <w:spacing w:after="0"/>
        <w:ind w:left="57"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по прилегающему к водозабору берегу - не менее 100 м от линии уреза воды летне-осенней межени;</w:t>
      </w:r>
    </w:p>
    <w:p w:rsidR="0042058C" w:rsidRPr="0042058C" w:rsidRDefault="0042058C" w:rsidP="0042058C">
      <w:pPr>
        <w:tabs>
          <w:tab w:val="left" w:pos="993"/>
        </w:tabs>
        <w:spacing w:after="0"/>
        <w:ind w:left="57"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и по прилегающему к водозабору берегу от линии уреза воды при летне-осенней межени.</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второго пояса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IА, Б, В и Г, а также IIА климатических районов, и не менее 3-х суток - для 1Д, IIБ, В, Г, а также III климатического района. Скорость движения воды в м/сутки принимается усредненной по ширине</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 xml:space="preserve"> и длине водотока или для отдельных его участков при резких колебаниях скорости течения.</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Граница второго пояса ЗСО водотока ниже по течению должна быть определена с учетом исключения влияния ветровых обратных течений,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но не менее 250 м от водозабора.</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Боковые границы второго пояса ЗСО от уреза воды при летне-осенней межени должны быть расположены на расстоянии:</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 равнинном рельефе местности - не менее 500 м;</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Определение границ ЗСО водопроводных сооружений и водоводов.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Граница первого пояса ЗСО водопроводных сооружений принимается на расстоянии:</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от стен запасных и регулирующих емкостей, фильтров и контактных осветлителей - не менее 30 м;</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от водонапорных башен - не менее 10 м;</w:t>
      </w:r>
    </w:p>
    <w:p w:rsidR="0042058C" w:rsidRPr="0042058C" w:rsidRDefault="0042058C" w:rsidP="0042058C">
      <w:pPr>
        <w:tabs>
          <w:tab w:val="left" w:pos="709"/>
        </w:tabs>
        <w:spacing w:after="0"/>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t>от остальных помещений (отстойники, реагентное хозяйство, склад хлора, насосные станции и др.) - не менее 15 м.</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В функциональной зоне, независимо от ее функционального профиля, изъятие орошаемых и осушаемых земель, пашни, многолетних плодовых насаждений для несельскохозяйственных нужд, а также земель, занятых лесами первой группы, для использования в целях, не связанных с ведением лесного хозяйства, должно производиться только в исключительных случаях, на основе специальных обоснований.</w:t>
      </w:r>
    </w:p>
    <w:p w:rsidR="0042058C" w:rsidRPr="0042058C" w:rsidRDefault="0042058C" w:rsidP="0042058C">
      <w:pPr>
        <w:spacing w:after="0"/>
        <w:ind w:left="57" w:firstLine="709"/>
        <w:jc w:val="both"/>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Полный перечень градостроительных ограничений и режимов использования территории в привязке к функциональным зонам приведен </w:t>
      </w:r>
      <w:r w:rsidR="004830AF">
        <w:rPr>
          <w:rFonts w:ascii="Times New Roman" w:eastAsia="Times New Roman" w:hAnsi="Times New Roman" w:cs="Times New Roman"/>
          <w:sz w:val="28"/>
          <w:szCs w:val="28"/>
          <w:lang w:eastAsia="ru-RU"/>
        </w:rPr>
        <w:t xml:space="preserve">          </w:t>
      </w:r>
      <w:r w:rsidRPr="0042058C">
        <w:rPr>
          <w:rFonts w:ascii="Times New Roman" w:eastAsia="Times New Roman" w:hAnsi="Times New Roman" w:cs="Times New Roman"/>
          <w:sz w:val="28"/>
          <w:szCs w:val="28"/>
          <w:lang w:eastAsia="ru-RU"/>
        </w:rPr>
        <w:t>в приложении 5 настоящего тома.</w:t>
      </w:r>
    </w:p>
    <w:p w:rsidR="0042058C" w:rsidRPr="0042058C" w:rsidRDefault="0042058C" w:rsidP="004830AF">
      <w:pPr>
        <w:spacing w:after="0"/>
        <w:ind w:firstLine="708"/>
        <w:jc w:val="both"/>
        <w:outlineLvl w:val="1"/>
        <w:rPr>
          <w:rFonts w:ascii="Times New Roman" w:eastAsia="Calibri" w:hAnsi="Times New Roman" w:cs="Times New Roman"/>
          <w:sz w:val="28"/>
          <w:szCs w:val="28"/>
        </w:rPr>
      </w:pPr>
      <w:bookmarkStart w:id="111" w:name="_Toc85173336"/>
      <w:r w:rsidRPr="0042058C">
        <w:rPr>
          <w:rFonts w:ascii="Times New Roman" w:eastAsia="Calibri" w:hAnsi="Times New Roman" w:cs="Times New Roman"/>
          <w:sz w:val="28"/>
          <w:szCs w:val="28"/>
        </w:rPr>
        <w:t xml:space="preserve">9. </w:t>
      </w:r>
      <w:bookmarkEnd w:id="111"/>
      <w:r w:rsidRPr="0042058C">
        <w:rPr>
          <w:rFonts w:ascii="Times New Roman" w:eastAsia="Calibri" w:hAnsi="Times New Roman" w:cs="Times New Roman"/>
          <w:sz w:val="28"/>
          <w:szCs w:val="28"/>
        </w:rPr>
        <w:t>Для обеспечения экологической безопасности реализуются мероприятия по региональной программе Ставропольского края «Охрана окружающей среды».</w:t>
      </w:r>
    </w:p>
    <w:p w:rsidR="0042058C" w:rsidRPr="0042058C" w:rsidRDefault="0042058C" w:rsidP="0042058C">
      <w:pPr>
        <w:spacing w:after="0"/>
        <w:ind w:firstLine="709"/>
        <w:jc w:val="both"/>
        <w:rPr>
          <w:rFonts w:ascii="Arial" w:eastAsia="Calibri" w:hAnsi="Arial" w:cs="Arial"/>
          <w:sz w:val="28"/>
          <w:szCs w:val="28"/>
        </w:rPr>
      </w:pPr>
      <w:r w:rsidRPr="0042058C">
        <w:rPr>
          <w:rFonts w:ascii="Times New Roman" w:eastAsia="Calibri" w:hAnsi="Times New Roman" w:cs="Times New Roman"/>
          <w:sz w:val="28"/>
          <w:szCs w:val="28"/>
        </w:rPr>
        <w:t xml:space="preserve">Основными задачами программы выступают сохранение и развитие сети особо охраняемых природных территорий в муниципальных </w:t>
      </w:r>
      <w:r w:rsidR="004830AF">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городских округах Ставропольского края, а также сохранение биологического разнообразия в крае.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обеспечения экологической безопасности реализуются мероприятия по региональной программе Ставропольского края «Охрана окружающей среды».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Основными задачами программы выступают сохранение и развитие сети особо охраняемых природных территорий в муниципальных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городских округах Ставропольского края, а также сохранение биологического разнообразия в крае.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Охрана атмосферного воздуха.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Количество автотранспорта в населенных пунктах увеличивается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каждым годом. Основным источником загрязнения воздуха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муниципальном округе является автомобильный транспорт. Выбросы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от транспорта несут наибольшую угрозу в данный момент в сравнении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со стационарными источниками загрязнений воздуха не только из-за роста числа автотранспорта, но и из-за его некачественного обслуживания.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Улучшить качество атмосферного воздуха позволит дорожное покрытие лучшего качества на автодорогах и тротуарах, улучшение текущего санитарного состояния улиц, а также благоустройство рекреационных зон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зон отдыха населения.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Для сокращения выбросов загрязняющих веществ рекомендуется проведение следующих мероприятий на территории Труновского муниципального округа: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выполнение мероприятий предусмотренных краевой программой «Охрана окружающей среды» с 2019 по 2024 гг., утвержденной постановлением Правительства Ставропольского края №599-п от 26 декабря 2018 г.</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мониторинговых исследований загрязнения атмосферного воздуха, в том числе при помощи передвижных постов;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организация автоматизированной системы контроля выбросов </w:t>
      </w:r>
      <w:r w:rsidR="004830A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сбросов наиболее опасных веществ;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разработка проектов санитарно-защитных зон для объектов, оказывающих негативное воздействие на окружающую среду;</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отведение основных транспортных потоков от жилой застройки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за счет модернизации и реконструкции транспортной сети населенных пунктов;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тщательного отбора муниципального транспорта, выезжающего на рейсы, своевременное обслуживание и поддержание транспорта в надлежащем состоянии;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обеспечение муниципального округа наличием автомобильной техники, отвечающей экологическим стандартам «Евро 4» и «Евро 5»;</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организация полос зеленых насаждений вдоль автомобильных дорог и озеленение внутримикрорайонных пространств, в соответствии </w:t>
      </w:r>
      <w:r w:rsidR="00981D14">
        <w:rPr>
          <w:rFonts w:ascii="Times New Roman" w:eastAsia="Times New Roman" w:hAnsi="Times New Roman" w:cs="Times New Roman"/>
          <w:noProof/>
          <w:sz w:val="28"/>
          <w:szCs w:val="28"/>
          <w:lang w:eastAsia="ru-RU"/>
        </w:rPr>
        <w:t xml:space="preserve">                   </w:t>
      </w:r>
      <w:r w:rsidR="00E3531F">
        <w:rPr>
          <w:rFonts w:ascii="Times New Roman" w:eastAsia="Times New Roman" w:hAnsi="Times New Roman" w:cs="Times New Roman"/>
          <w:noProof/>
          <w:sz w:val="28"/>
          <w:szCs w:val="28"/>
          <w:lang w:eastAsia="ru-RU"/>
        </w:rPr>
        <w:t xml:space="preserve">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требованиями СП 42.13330.2016 «СНиП 2.07.01-89* «Градостроительство. Планировка и застройка городских и сельских поселений».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2</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Охрана водной среды.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Качество водных ресурсов, имеющихся на территории Труновского муниципального округа влияет на окружающую среду в целом, в том числе, на здоровье человека, скота, плодородие почвы. На ухудшение качества воды могут влиять разнообразные факторы: увеличение антропогенной нагрузки, сбросы отходов производства, природные явления и катаклизмы. Исходя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из этого одной из основных задач в округе является защита водных объектов.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Во избежание негативных последствий приведенных действий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явлений необходимо предусмотреть выполнение ряда мероприятий: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выполнение мероприятий предусмотренных краевой программой «Охрана окружающей среды» с 2019 по 2024 гг., утвержденной постановлением Правительства Ставропольского края №599-п от 26 декабря 2018 г.;</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благоустройство и расчистка водных объектов;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осуществление благоустройства и озеленение прибрежных защитных полос и водоохранных зон;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определение источников подтопления;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построение эффективной работы по инженерной защите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подтопления;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установление на местности границ водоохранных зон и границ прибрежных защитных полос водных объектов;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запрещение движения и стоянка транспортных средств в границах водоохранных зон (кроме специальных транспортных средств),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за исключением их движения по дорогам и стоянки на дорогах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 специально оборудованных местах, имеющих твердое покрытие;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мониторинг степени очистки сточных вод на КОС и КНС;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очистки ливневых стоков;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строительство и реконструкция сооружений по отводу поверхностного стока;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выявление предприятий, осуществляющих самовольное пользование водными объектами, и применение по отношению к ним штрафных санкций;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внедрение современных технологий очистных сооружений </w:t>
      </w:r>
      <w:r w:rsidR="00981D14">
        <w:rPr>
          <w:rFonts w:ascii="Times New Roman" w:eastAsia="Times New Roman" w:hAnsi="Times New Roman" w:cs="Times New Roman"/>
          <w:noProof/>
          <w:sz w:val="28"/>
          <w:szCs w:val="28"/>
          <w:lang w:eastAsia="ru-RU"/>
        </w:rPr>
        <w:t xml:space="preserve">              </w:t>
      </w:r>
      <w:r w:rsidR="00E3531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крупных предприятиях;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создание в местах сброса отходов крупных сельскохозяйственных комплексов и ферм очистных сооружений для очистки от азота аммония, пестицидов и нитритов;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реконструкция очистных сооружений в муниципальном округе;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установка щитов вблизи водных объектов, предупреждающих жителей и гостей населенных пунктов о необходимости соблюдения чистоты </w:t>
      </w:r>
      <w:r w:rsidR="00E3531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данных местах пребывания.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Комплексное соблюдение правил пользования водными объектами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выполнение мероприятий по их защите и охране приведет к установлению стабильной ситуации в сфере и улучшению качества воды в Труновском муниципальном округе.</w:t>
      </w:r>
    </w:p>
    <w:p w:rsidR="0042058C" w:rsidRPr="0042058C" w:rsidRDefault="00E3531F"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3)</w:t>
      </w:r>
      <w:r w:rsidR="0042058C" w:rsidRPr="0042058C">
        <w:rPr>
          <w:rFonts w:ascii="Times New Roman" w:eastAsia="Times New Roman" w:hAnsi="Times New Roman" w:cs="Times New Roman"/>
          <w:noProof/>
          <w:sz w:val="28"/>
          <w:szCs w:val="28"/>
          <w:lang w:eastAsia="ru-RU"/>
        </w:rPr>
        <w:t xml:space="preserve"> Охрана почв и растительного покрова.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Почвы в результате воздействия природных явлений, градостроительной, хозяйственной, производственной, агротехнической деятельности подвергаются деградации, отчуждению, загрязнению. Состояние почвенного покрова в полной мере влияет на плодородие почв.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Интенсивное использование земель, загрязнение отходами производства, попадающими в почву под действием переноса воздушных масс, а также сокращение работ по сохранению их плодородия повлекло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за собой истощение пашни.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Почвенный покров муниципального округа также подвержен водной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ветровой эрозии.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основании проведенного анализа определены необходимые для выполнения специальные мероприятия по сохранению и охране почв: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восстановления, рекультивации земель, подверженных негативному воздействию накопленного вреда окружающей среде, нарушенных при строительстве и прокладке инженерных сетей различного назначения;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усиление контроля за использованием земель и повышение уровня экологических требований к деятельности землепользований;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выявление и ликвидация несанкционированных свалок </w:t>
      </w:r>
      <w:r w:rsidR="00981D14">
        <w:rPr>
          <w:rFonts w:ascii="Times New Roman" w:eastAsia="Times New Roman" w:hAnsi="Times New Roman" w:cs="Times New Roman"/>
          <w:noProof/>
          <w:sz w:val="28"/>
          <w:szCs w:val="28"/>
          <w:lang w:eastAsia="ru-RU"/>
        </w:rPr>
        <w:t xml:space="preserve">                          </w:t>
      </w:r>
      <w:r w:rsidR="00E3531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последующей рекультивацией территории;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рекультивации земель после отработки полезных ископаемых;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организация и проведение противоэрозионных мероприятий: агротехнических, лесомелиоративных;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предотвращение загрязнения земель неочищенными сточными водами, ядохимикатами, производственными и прочими технологиче¬скими отходами;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агрохимического обследования сельскохозяйственных угодий.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целях сохранения и повышения плодородия почв в процессе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их эксплуатации необходимо также выполнение мероприятий предусмотренных государственной программой Ставропольского края «Охрана окружающей среды» с 2019 по 2024 гг., утвержденной постановлением Правительства Ставропольского края № 599-п от 26 декабря 2018 г. (с изменениями на 25 августа 2021 года).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Благоустройство и озеленение.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Благоустройство территории предполагает проведение целого комплекса мер по улучшению окружающего пространства. Оно необходимо, во-первых, в целях определения мест проведения досуга населения,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во-вторых, в целях улучшения территорий водных объектов, в-третьих,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целях установления правил использования территорий.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состояние окружающей среды, в первую очередь, негативно влияет антропогенная нагрузка. При помощи проведения правильного благоустройства можно добиться ее снижения и таким образом улучшить состояние природной среды.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Комплексное проведение благоустройства территории предполагает проведение мероприятий как внутри населенных пунктов, так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за их пределами.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Проводя благоустройство в населенных пунктах, стоит учитывать экологичность материалов при проектировании детских площадок, площадок для отдыха сельского населения, парковых пространств.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Одним из наиболее понятных и распространенных методов благоустройства является озеленение территории. Оно позволяет одновременно положительно повлиять на атмосферный воздух, состояние почв и водных ресурсов. Благоустройство внутри населенных пунктов должно включать озеленение в местах большего скопления людей: жилая застройка, территории общественно-делового назначения (магазины, парковки). Ограды следует устраивать преимущественно в виде живых изгородей из однорядных или многорядных посадок кустарников.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Особенно важно озеленение вблизи автомобильных дорог, так как количество автотранспорта каждый год увеличивается в несколько раз. Таким образом, зеленые насаждения помогут сдерживать ухудшение экологической ситуации, а в достаточном количестве – даже смогут улучшить ее.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Зеленые насаждения обеспечивают рекреационные потребности населения, защищая от шума, снижая концентрацию вредных примесей. Также озеленение способствует регулированию температурно-влажностного и ветрового режимов.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Одна из наиболее нуждающихся в озеленении территорий – промышленная зона. Здесь могут использоваться мобильные системы озеленения. Конструкции легки в монтаже, а также имеется возможность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их перемещения при необходимости.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Растительность населенных пунктов не в состоянии полностью поддерживать естественный состав воздуха. Поэтому необходимо также озеленение территорий за пределами сел и поселков. В Труновском муниципальном округе имеется потребность обустройства территорий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прибрежных зонах рек Егорлык и Малая Кугульта.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Чтобы озеленение было эффективным, стоит учитывать особенности растений. Деревья и кустарники должны выдерживать резкие перепады температур и подтопление корневой системы. Правильное озеленение позволит избежать ветровой и водной эрозии почв.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На открытых пространствах, в особенности на набережных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площадях, рекомендуется применение элементов ветрозащиты (укрытий, оборудованных местами для отдыха, ветрозащитных барьеров, стенок, козырьков, ветрозащитного озеленения) в соответствии с местными условиями и при проведении расчетов по условиям их размещения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характеристикам. Допускается использование элементов рельефа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ветрозащитных насыпей в качестве ветрозащиты.</w:t>
      </w:r>
      <w:r w:rsidRPr="0042058C">
        <w:rPr>
          <w:rFonts w:ascii="Times New Roman" w:eastAsia="Times New Roman" w:hAnsi="Times New Roman" w:cs="Times New Roman"/>
          <w:noProof/>
          <w:sz w:val="28"/>
          <w:szCs w:val="28"/>
          <w:vertAlign w:val="superscript"/>
          <w:lang w:eastAsia="ru-RU"/>
        </w:rPr>
        <w:footnoteReference w:id="98"/>
      </w:r>
      <w:r w:rsidRPr="0042058C">
        <w:rPr>
          <w:rFonts w:ascii="Times New Roman" w:eastAsia="Times New Roman" w:hAnsi="Times New Roman" w:cs="Times New Roman"/>
          <w:noProof/>
          <w:sz w:val="28"/>
          <w:szCs w:val="28"/>
          <w:lang w:eastAsia="ru-RU"/>
        </w:rPr>
        <w:t xml:space="preserve">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Основными мероприятиями в части благоустройства муниципального округа должны стать:</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проведение благоустройства в соответствии с функциональным зонированием территорий;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применение вертикального озеленения фасадов зданий в населенных пунктах;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внедрение мобильных систем озеленения в промышленных частях округа и в центральных;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посадка деревьев и кустарников вдоль рек;</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лесопосадки на нарушенных землях;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восстановление и поддержание озеленённых коридоров транспортной</w:t>
      </w:r>
      <w:r w:rsidR="00E3531F">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 и инженерно-технической инфраструктуры;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увеличение площади зелёных насаждений в населенных пунктах округа;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организация площадок и парков отдыха населения.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5</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Оптимизация системы обращения с ТКО.</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Система обращения с твердыми коммунальными отходами (ТКО) предполагает их вывоз и дальнейшую утилизацию либо захоронение. Так как отходов с каждым годом становится больше, можно наблюдать повышение стоимости услуг регионального оператора по вывозу ТКО. Также распространенным фактором является образование несанкционированных свалок. Данное явление распространено по причине невозможности многих абонентов пользования услугами региональных операторов в силу материальной несостоятельности. Как следствие происходит загрязнение атмосферного воздуха, грунтовых вод.</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Во избежание негативных последствий для окружающей среды следует разрабатывать мероприятия по обновлению системы обращения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коммунальными отходами.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целях уменьшения несанкционированных свалок, таким образом,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улучшения экологических условий, повышения уровня благоустройства округа необходимо использовать модули для раздельного сбора ТКО. Применение в данной сфере модулей для распределения мусора помогло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бы избежать ухудшения экологической ситуации в округе, однако скорость выполнения данных мероприятий зависит от установленных региональных задач.</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Согласно данным территориальной схемы обращения с отходами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Ставропольском крае объем и количество образующихся твердых коммунальных отходов в Труновском муниципальном округе увеличатся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к 2030 году на 3% (таблица, рисунок).</w:t>
      </w:r>
    </w:p>
    <w:p w:rsidR="0042058C" w:rsidRPr="0042058C" w:rsidRDefault="0042058C" w:rsidP="0042058C">
      <w:pPr>
        <w:keepNext/>
        <w:spacing w:after="0" w:line="240" w:lineRule="auto"/>
        <w:jc w:val="right"/>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 xml:space="preserve">Таблица </w:t>
      </w:r>
      <w:r w:rsidR="00E3531F">
        <w:rPr>
          <w:rFonts w:ascii="Times New Roman" w:eastAsia="Calibri" w:hAnsi="Times New Roman" w:cs="Times New Roman"/>
          <w:bCs/>
          <w:sz w:val="28"/>
          <w:szCs w:val="28"/>
        </w:rPr>
        <w:t>1</w:t>
      </w:r>
      <w:r w:rsidR="00E86957">
        <w:rPr>
          <w:rFonts w:ascii="Times New Roman" w:eastAsia="Calibri" w:hAnsi="Times New Roman" w:cs="Times New Roman"/>
          <w:bCs/>
          <w:sz w:val="28"/>
          <w:szCs w:val="28"/>
        </w:rPr>
        <w:t>09</w:t>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r w:rsidRPr="0042058C">
        <w:rPr>
          <w:rFonts w:ascii="Times New Roman" w:eastAsia="Calibri" w:hAnsi="Times New Roman" w:cs="Times New Roman"/>
          <w:bCs/>
          <w:sz w:val="28"/>
          <w:szCs w:val="28"/>
        </w:rPr>
        <w:t>Динамика прогнозируемого образования ТКО на территории Труновского муниципального округа на период до 2030 года</w:t>
      </w:r>
      <w:r w:rsidRPr="0042058C">
        <w:rPr>
          <w:rFonts w:ascii="Times New Roman" w:eastAsia="Calibri" w:hAnsi="Times New Roman" w:cs="Times New Roman"/>
          <w:bCs/>
          <w:sz w:val="28"/>
          <w:szCs w:val="28"/>
          <w:vertAlign w:val="superscript"/>
        </w:rPr>
        <w:footnoteReference w:id="99"/>
      </w:r>
    </w:p>
    <w:p w:rsidR="0042058C" w:rsidRPr="0042058C" w:rsidRDefault="0042058C" w:rsidP="0042058C">
      <w:pPr>
        <w:keepNext/>
        <w:spacing w:after="0" w:line="240" w:lineRule="auto"/>
        <w:jc w:val="center"/>
        <w:rPr>
          <w:rFonts w:ascii="Times New Roman" w:eastAsia="Calibri" w:hAnsi="Times New Roman" w:cs="Times New Roman"/>
          <w:bCs/>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75"/>
        <w:gridCol w:w="544"/>
        <w:gridCol w:w="687"/>
        <w:gridCol w:w="686"/>
        <w:gridCol w:w="687"/>
        <w:gridCol w:w="686"/>
        <w:gridCol w:w="687"/>
        <w:gridCol w:w="686"/>
        <w:gridCol w:w="687"/>
        <w:gridCol w:w="686"/>
        <w:gridCol w:w="687"/>
        <w:gridCol w:w="686"/>
        <w:gridCol w:w="687"/>
      </w:tblGrid>
      <w:tr w:rsidR="0042058C" w:rsidRPr="0042058C" w:rsidTr="0042058C">
        <w:tc>
          <w:tcPr>
            <w:tcW w:w="1475"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Показатель</w:t>
            </w:r>
          </w:p>
        </w:tc>
        <w:tc>
          <w:tcPr>
            <w:tcW w:w="544"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2019</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2020</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2021</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2022</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2023</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2024</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2025</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2026</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2027</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2028</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2029</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2030</w:t>
            </w:r>
          </w:p>
        </w:tc>
      </w:tr>
      <w:tr w:rsidR="0042058C" w:rsidRPr="0042058C" w:rsidTr="0042058C">
        <w:tc>
          <w:tcPr>
            <w:tcW w:w="1475" w:type="dxa"/>
            <w:shd w:val="clear" w:color="auto" w:fill="auto"/>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Объем образующихся ТКО, м</w:t>
            </w:r>
            <w:r w:rsidRPr="0042058C">
              <w:rPr>
                <w:rFonts w:ascii="Times New Roman" w:eastAsia="Calibri" w:hAnsi="Times New Roman" w:cs="Times New Roman"/>
                <w:bCs/>
                <w:sz w:val="20"/>
                <w:szCs w:val="20"/>
                <w:vertAlign w:val="superscript"/>
              </w:rPr>
              <w:t>3</w:t>
            </w:r>
            <w:r w:rsidRPr="0042058C">
              <w:rPr>
                <w:rFonts w:ascii="Times New Roman" w:eastAsia="Calibri" w:hAnsi="Times New Roman" w:cs="Times New Roman"/>
                <w:bCs/>
                <w:sz w:val="20"/>
                <w:szCs w:val="20"/>
              </w:rPr>
              <w:t xml:space="preserve"> /год</w:t>
            </w:r>
          </w:p>
        </w:tc>
        <w:tc>
          <w:tcPr>
            <w:tcW w:w="544"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86444</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86830</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87137</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87404</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87653</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87890</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88118</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88324</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88505</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88670</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88822</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88964</w:t>
            </w:r>
          </w:p>
        </w:tc>
      </w:tr>
      <w:tr w:rsidR="0042058C" w:rsidRPr="0042058C" w:rsidTr="0042058C">
        <w:tc>
          <w:tcPr>
            <w:tcW w:w="1475" w:type="dxa"/>
            <w:shd w:val="clear" w:color="auto" w:fill="auto"/>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Количество образующихся ТКО, т/год</w:t>
            </w:r>
          </w:p>
        </w:tc>
        <w:tc>
          <w:tcPr>
            <w:tcW w:w="544"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6483</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6512</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6535</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6555</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6574</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6592</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6609</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6624</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6638</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6650</w:t>
            </w:r>
          </w:p>
        </w:tc>
        <w:tc>
          <w:tcPr>
            <w:tcW w:w="686"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6662</w:t>
            </w:r>
          </w:p>
        </w:tc>
        <w:tc>
          <w:tcPr>
            <w:tcW w:w="687" w:type="dxa"/>
            <w:shd w:val="clear" w:color="auto" w:fill="auto"/>
            <w:vAlign w:val="center"/>
          </w:tcPr>
          <w:p w:rsidR="0042058C" w:rsidRPr="0042058C" w:rsidRDefault="0042058C" w:rsidP="0042058C">
            <w:pPr>
              <w:keepNext/>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6672</w:t>
            </w:r>
          </w:p>
        </w:tc>
      </w:tr>
    </w:tbl>
    <w:p w:rsidR="0042058C" w:rsidRPr="0042058C" w:rsidRDefault="0042058C" w:rsidP="0042058C">
      <w:pPr>
        <w:keepNext/>
        <w:spacing w:after="0" w:line="240" w:lineRule="auto"/>
        <w:jc w:val="center"/>
        <w:rPr>
          <w:rFonts w:ascii="Times New Roman" w:eastAsia="Calibri" w:hAnsi="Times New Roman" w:cs="Times New Roman"/>
          <w:bCs/>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Несмотря на снижение численности населения к расчетному сроку генерального плана в муниципальном образовании число отходов будет расти (рисунок).</w:t>
      </w:r>
    </w:p>
    <w:p w:rsidR="0042058C" w:rsidRPr="0042058C" w:rsidRDefault="0042058C" w:rsidP="0042058C">
      <w:pPr>
        <w:spacing w:after="0"/>
        <w:ind w:firstLine="709"/>
        <w:jc w:val="both"/>
        <w:rPr>
          <w:rFonts w:ascii="Times New Roman" w:eastAsia="Calibri" w:hAnsi="Times New Roman" w:cs="Times New Roman"/>
          <w:sz w:val="28"/>
          <w:szCs w:val="28"/>
        </w:rPr>
      </w:pPr>
    </w:p>
    <w:p w:rsidR="00981D14" w:rsidRDefault="0042058C" w:rsidP="00981D14">
      <w:pPr>
        <w:spacing w:after="160" w:line="256" w:lineRule="auto"/>
        <w:jc w:val="center"/>
        <w:rPr>
          <w:rFonts w:ascii="Times New Roman" w:eastAsia="Calibri" w:hAnsi="Times New Roman" w:cs="Times New Roman"/>
          <w:bCs/>
          <w:color w:val="262626"/>
          <w:sz w:val="28"/>
          <w:szCs w:val="28"/>
        </w:rPr>
      </w:pPr>
      <w:r>
        <w:rPr>
          <w:rFonts w:ascii="Calibri" w:eastAsia="Calibri" w:hAnsi="Calibri" w:cs="Times New Roman"/>
          <w:noProof/>
          <w:lang w:eastAsia="ru-RU"/>
        </w:rPr>
        <w:drawing>
          <wp:inline distT="0" distB="0" distL="0" distR="0" wp14:anchorId="72CA3537" wp14:editId="526875AB">
            <wp:extent cx="3848735" cy="2009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2058C" w:rsidRPr="0042058C" w:rsidRDefault="0042058C" w:rsidP="00981D14">
      <w:pPr>
        <w:spacing w:after="160" w:line="256" w:lineRule="auto"/>
        <w:jc w:val="right"/>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 xml:space="preserve">Рисунок </w:t>
      </w:r>
      <w:r w:rsidRPr="0042058C">
        <w:rPr>
          <w:rFonts w:ascii="Times New Roman" w:eastAsia="Calibri" w:hAnsi="Times New Roman" w:cs="Times New Roman"/>
          <w:bCs/>
          <w:color w:val="262626"/>
          <w:sz w:val="28"/>
          <w:szCs w:val="28"/>
        </w:rPr>
        <w:fldChar w:fldCharType="begin"/>
      </w:r>
      <w:r w:rsidRPr="0042058C">
        <w:rPr>
          <w:rFonts w:ascii="Times New Roman" w:eastAsia="Calibri" w:hAnsi="Times New Roman" w:cs="Times New Roman"/>
          <w:bCs/>
          <w:color w:val="262626"/>
          <w:sz w:val="28"/>
          <w:szCs w:val="28"/>
        </w:rPr>
        <w:instrText xml:space="preserve"> SEQ Рисунок \* ARABIC </w:instrText>
      </w:r>
      <w:r w:rsidRPr="0042058C">
        <w:rPr>
          <w:rFonts w:ascii="Times New Roman" w:eastAsia="Calibri" w:hAnsi="Times New Roman" w:cs="Times New Roman"/>
          <w:bCs/>
          <w:color w:val="262626"/>
          <w:sz w:val="28"/>
          <w:szCs w:val="28"/>
        </w:rPr>
        <w:fldChar w:fldCharType="separate"/>
      </w:r>
      <w:r w:rsidR="00AC7BDA">
        <w:rPr>
          <w:rFonts w:ascii="Times New Roman" w:eastAsia="Calibri" w:hAnsi="Times New Roman" w:cs="Times New Roman"/>
          <w:bCs/>
          <w:noProof/>
          <w:color w:val="262626"/>
          <w:sz w:val="28"/>
          <w:szCs w:val="28"/>
        </w:rPr>
        <w:t>5</w:t>
      </w:r>
      <w:r w:rsidRPr="0042058C">
        <w:rPr>
          <w:rFonts w:ascii="Times New Roman" w:eastAsia="Calibri" w:hAnsi="Times New Roman" w:cs="Times New Roman"/>
          <w:bCs/>
          <w:noProof/>
          <w:color w:val="262626"/>
          <w:sz w:val="28"/>
          <w:szCs w:val="28"/>
        </w:rPr>
        <w:fldChar w:fldCharType="end"/>
      </w:r>
      <w:r w:rsidR="00E86957">
        <w:rPr>
          <w:rFonts w:ascii="Times New Roman" w:eastAsia="Calibri" w:hAnsi="Times New Roman" w:cs="Times New Roman"/>
          <w:bCs/>
          <w:noProof/>
          <w:color w:val="262626"/>
          <w:sz w:val="28"/>
          <w:szCs w:val="28"/>
        </w:rPr>
        <w:t>6</w:t>
      </w:r>
    </w:p>
    <w:p w:rsidR="0042058C" w:rsidRPr="0042058C" w:rsidRDefault="0042058C" w:rsidP="0042058C">
      <w:pPr>
        <w:keepNext/>
        <w:spacing w:after="0" w:line="240" w:lineRule="auto"/>
        <w:jc w:val="center"/>
        <w:rPr>
          <w:rFonts w:ascii="Times New Roman" w:eastAsia="Calibri" w:hAnsi="Times New Roman" w:cs="Times New Roman"/>
          <w:bCs/>
          <w:color w:val="262626"/>
          <w:sz w:val="28"/>
          <w:szCs w:val="28"/>
        </w:rPr>
      </w:pPr>
      <w:r w:rsidRPr="0042058C">
        <w:rPr>
          <w:rFonts w:ascii="Times New Roman" w:eastAsia="Calibri" w:hAnsi="Times New Roman" w:cs="Times New Roman"/>
          <w:bCs/>
          <w:color w:val="262626"/>
          <w:sz w:val="28"/>
          <w:szCs w:val="28"/>
        </w:rPr>
        <w:t>Динамика прогнозируемого образования ТКО на территории Труновского муниципального округа на период до 2030 года, т/год</w:t>
      </w:r>
    </w:p>
    <w:p w:rsidR="0042058C" w:rsidRPr="0042058C" w:rsidRDefault="0042058C" w:rsidP="0042058C">
      <w:pPr>
        <w:spacing w:after="160" w:line="256" w:lineRule="auto"/>
        <w:rPr>
          <w:rFonts w:ascii="Calibri" w:eastAsia="Calibri" w:hAnsi="Calibri" w:cs="Times New Roman"/>
        </w:rPr>
      </w:pP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Для усовершенствования системы вывоза и переработки отходов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Труновском муниципальном округе необходимо выполнение следующих мероприятий: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урегулирование стоимости услуг регионального оператора по вывозу коммунальных отходов на уровне, доступном для населения муниципального округа;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ликвидация несанкционированных свалок с последующим проведением рекультивации земель;</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организация мест по сбору сырья для вторичной переработки отходов;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организация системы поощрений граждан за сдачу предметов, бывших в употреблении, в переработку;</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установка модулей для раздельного сбора ТКО в крупных населенных пунктах.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10. Раздел выполнен с целью заблаговременной разработки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реализации мероприятий по гражданской обороне в объеме, необходимом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достаточном для предотвращения чрезвычайных ситуаций и защиты населения от поражающих факторов и последствий чрезвычайных ситуаций в мирное и военное время.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Основные задачи при разработке раздела: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анализ факторов риска возникновения ЧС природного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техногенного характера, в том числе включая ЧС военного, биолого-социального характера и иных угроз на территории края,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определение мероприятий по минимизации их последствий с учетом ИТМ ГО, предупреждения ЧС и обеспечения пожарной безопасности,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определение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Федеральный государственный надзор в области защиты населения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территорий от чрезвычайных ситуаций природного и техногенного характера осуществляется с помощью перечня нормативно-правовых актов: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Федеральный закон от 21.12.1994 г. №68-ФЗ «О защите населения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территорий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Федеральный закон от 22.08.1995 г. № 151-ФЗ «Об аварийно-спасательных службах и статусе спасателей»;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Правительства Российской Федерации от 30.12.2003 г. № 794 «О единой государственной системе предупреждения и ликвидации чрезвычайных ситуаций»;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Российской Федерации от 16.12.2020 г. № 2124 «Об утверждении требований к составу и оснащению аварийно-спасательных служб и (или) аварийно-спасательных формирований, участвующих в осуществлении мероприятий по ликвидации разливов нефти и нефтепродуктов»;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Российской Федерации от 18.09.2020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Российской Федерации от 22.12.2011 г.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Правительства Российской Федерации от 24.03.1997 г. № 334 «О порядке сбора и обмена в Российской Федерации информацией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области защиты населения и территорий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приказ МЧС России от 27.05.2003 г. № 285 «Об утверждении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введении в действие Правил использования и содержания средств индивидуальной защиты, приборов радиационной, химической разведки</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 и контроля»;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 МЧС России, Минкомсвязи России от 31.07.2020г.                           № «Об утверждении Положения по организации эксплуатационно-технического обслуживания систем оповещения населения»;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 МЧС России от 23.12.2005 № 999 «Об утверждении Порядка создания нештатных аварийно-спасательных формирований»;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 МЧС России, Минкомсвязи России от 31.07.2020г.                        «Об утверждении Положения о системах оповещения населения»;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 МЧС России от 01.10.2014 г. № 543 «Об утверждении Положения об организации обеспечения населения средствами индивидуальной защиты»;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приказ МЧС России от 29.07.2020 г. № 565 «Об утверждении Инструкции по подготовке и проведению учений и тренировок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приказ МЧС России от 26.08.2009 № 496 «Об утверждении Положения</w:t>
      </w:r>
    </w:p>
    <w:p w:rsidR="0042058C" w:rsidRPr="0042058C" w:rsidRDefault="0042058C" w:rsidP="0042058C">
      <w:pPr>
        <w:autoSpaceDE w:val="0"/>
        <w:autoSpaceDN w:val="0"/>
        <w:adjustRightInd w:val="0"/>
        <w:spacing w:after="0"/>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 системе и порядке информационного обмена в рамках единой государственной системы предупреждения и ликвидации чрезвычайных ситуаций».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Нормативные правовые акты Ставропольского края в области гражданской обороны и защиты населения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18.06.2008 г. № 102-п «О порядке подготовки и содержания в готовности необходимых сил и средств для защиты населения и территории Ставропольского края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18.07.2008 г.         № 103-п «О порядке организации проведения эвакуации (отселения) населения, материальных и культурных ценностей при угрозе или возникновении чрезвычайных ситуаций природного и техногенного характера 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Правительства Ставропольского края от 26.10.2005 г.                  № 132-п «О порядке сбора и обмена информацией в области защиты населения и территории от чрезвычайных ситуаций природного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техногенного характера 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Губернатора Ставропольского края от 27.08.2001 г.                № 506 «О создании комиссии по повышению устойчивости функционирования объектов экономики, расположенных на территории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Губернатор Ставропольского края от 1.02.2011 г. № 37 «О Положении об организации и ведении гражданской обороны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распоряжение Правительства Ставропольского края от 11.12.2020 г.            № 698-рп «О поддержании общественного порядка в ходе проведения аварийно-спасательных и других неотложных работ при чрезвычайных ситуациях межмуниципального и регионального характера на территории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10.08.2005 г.  № 97-п «О Ставропольской краевой территориальной подсистеме единой государственной системы предупреждения и ликвидации чрезвычайных ситуаций»;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распоряжение Губернатора Ставропольского края от 24.05.2006 г.                 № 394-р «О подготовке населения Ставропольского края в области гражданской обороны и защиты от чрезвычайных ситуаций природного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Правительства Ставропольского края от 29.12.2018 г.       № 627-п об утверждении государственной программы Ставропольского края «Развитие жилищно-коммунального хозяйства, защита населения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территории от чрезвычайных ситуаций»;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19.09.2001 г.        № 209-п «Об утверждении положения о резервном фонде правительства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Губернатора Ставропольского края от 23.10.2006 г.           № 733 «Об эвакуационной комиссии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29.06.2006 г.   № 101-п «О комиссии по предупреждению и ликвидации чрезвычайных ситуаций и обеспечению пожарной безопасности 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14.04.2006 г.   № 47-п «О создании, хранении, использовании и восполнении резервов материальных ресурсов для ликвидации чрезвычайных ситуаций природного и техногенного характера 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Правительства Ставропольского края от 18.07.2007 г.                     № 77-п «О создании и содержании в целях гражданской обороны запасов материально-технических, продовольственных, медицинских и иных средств»;</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закон Ставропольского края от 11.02.2020 г. № 18-кз «О некоторых вопросах в области защиты населения и территорий в Ставропольском крае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Губернатора Ставропольского края от 18.01.2007 г.              № 15 «Об утверждении положения о системе оповещения и информирования населения Ставропольского края об угрозе возникновения или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 возникновении чрезвычайных ситуаций»;</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закон Ставропольского края от 07.12.2019 г. № 88-кз «о некоторых вопросах гражданской обороны в ставропольском крае».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Региональный государственный надзор в области защиты населения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территорий от чрезвычайных ситуаций проводится в соответствии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задачами, возложенными на территориальную подсистему РСЧС, в целях проверки полноты выполнения мероприятий по предупреждению чрезвычайных ситуаций и степени готовности должностных лиц, сил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средств к действиям по ликвидации чрезвычайных ситуаций при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их возникновении. На территории Труновского муниципального округа д</w:t>
      </w:r>
      <w:r w:rsidR="00981D14">
        <w:rPr>
          <w:rFonts w:ascii="Times New Roman" w:eastAsia="Times New Roman" w:hAnsi="Times New Roman" w:cs="Times New Roman"/>
          <w:noProof/>
          <w:sz w:val="28"/>
          <w:szCs w:val="28"/>
          <w:lang w:eastAsia="ru-RU"/>
        </w:rPr>
        <w:t>анные мероприятия осуществляет о</w:t>
      </w:r>
      <w:r w:rsidRPr="0042058C">
        <w:rPr>
          <w:rFonts w:ascii="Times New Roman" w:eastAsia="Times New Roman" w:hAnsi="Times New Roman" w:cs="Times New Roman"/>
          <w:noProof/>
          <w:sz w:val="28"/>
          <w:szCs w:val="28"/>
          <w:lang w:eastAsia="ru-RU"/>
        </w:rPr>
        <w:t>тдел по мобилизационной подготовке, гражданской обороне и чрезвычайным ситуациям администрации Труновского муниципального округа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Нормативные правовые акты Труновского муниципального округа</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 в области гражданской обороны и защиты населения и территорий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администрации Труновского муниципального округа Ставропольского края от 20.05.2021 № 470-п «Об утверждении положения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 подготовке населения Труновского муниципального округа Ставропольского края в области защиты от чрезвычайных ситуаций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администрации Труновского муниципального округа Ставропольского края от 20.05.2021 № 471-п «Об утверждении положения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 подготовке населения Труновского муниципального округа Ставропольского края в области гражданской обороны»;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администрации Труновского муниципального округа Ставропольского края от 05.04.2021 № 356-п «О создании учебно-консультационных пунктов по гражданской обороне и чрезвычайным ситуациям в Труновском муниципальном округе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постановление администрации Труновского муниципального округа Ставропольского края № 385-п от 16.04.2021 Об эвакуационной (эвакоприемной) комиссии Труновского муниципального округа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администрации Труновского муниципального округа Ставропольского края от 20.05.2021 № 472-п «О внесении изменений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состав эвакуационной (эвакоприемной) комиссии Труновского муниципального округа Ставропольского края, утвержденный постановлением администрации Труновского муниципального округа Ставропольского»;</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постановление администрации Труновского муниципального округа Ставропольского края от 05.04.2021 № 354-п «О создании, содержании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использовании в целях гражданской обороны запасов материально-технических, продовольственных, медицинских и иных средств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Труновском муниципальном округе Ставропольского края».</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Различают ЧС по характеру источника (природные, техногенные, биолого-социальные) и по масштабам действия (локальные, местные, территориальные, региональные, федеральные и трансграничные).</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Территория Труновского муниципального округа подвержена риску возникновения чрезвычайных ситуаций природного, техногенного и биолого-социального характера. Территории, подверженные риску возникновения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ЧС и потенциально опасные объекты Труновского муниципального округа отображены на карте территорий, подверженных риску возникновения ЧС природного и техногенного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Степень опасности природных и техногенных процессов, состав мероприятий по их мониторингу и предотвращению опасных явлений определяется соответствующими проектами защиты территорий, выполняемыми в соответствии с действующей нормативной базой в составе работ по планировке территории под новое строительство в населенных пунктах.</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Перечень источников чрезвычайных ситуаций природного характера.</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Источниками чрезвычайных ситуаций природного характера являются опасные природные процессы и явления, проявление которых возможно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проектируемой территории.</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подразделе в качестве источников природных ЧС целесообразно рассматривать:</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опасные геологические процессы;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опасные гидрологические явления и процессы;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опасные метеорологические явления и процессы;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природные пожары.</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 разработке подраздела по источникам природных ЧС территории муниципального округа использовались положения прописанные в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p>
    <w:p w:rsidR="0042058C" w:rsidRPr="0042058C" w:rsidRDefault="00E3531F" w:rsidP="0042058C">
      <w:pPr>
        <w:autoSpaceDE w:val="0"/>
        <w:autoSpaceDN w:val="0"/>
        <w:adjustRightInd w:val="0"/>
        <w:spacing w:after="0"/>
        <w:ind w:firstLine="708"/>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11</w:t>
      </w:r>
      <w:r w:rsidR="00E86957">
        <w:rPr>
          <w:rFonts w:ascii="Times New Roman" w:eastAsia="Times New Roman" w:hAnsi="Times New Roman" w:cs="Times New Roman"/>
          <w:noProof/>
          <w:sz w:val="28"/>
          <w:szCs w:val="28"/>
          <w:lang w:eastAsia="ru-RU"/>
        </w:rPr>
        <w:t>0</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Перечень поражающих факторов источников природных ЧС</w:t>
      </w:r>
      <w:r w:rsidRPr="0042058C">
        <w:rPr>
          <w:rFonts w:ascii="Times New Roman" w:eastAsia="Times New Roman" w:hAnsi="Times New Roman" w:cs="Times New Roman"/>
          <w:noProof/>
          <w:sz w:val="28"/>
          <w:szCs w:val="28"/>
          <w:vertAlign w:val="superscript"/>
          <w:lang w:eastAsia="ru-RU"/>
        </w:rPr>
        <w:footnoteReference w:id="100"/>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jc w:val="center"/>
        <w:tblCellMar>
          <w:left w:w="57" w:type="dxa"/>
          <w:right w:w="57" w:type="dxa"/>
        </w:tblCellMar>
        <w:tblLook w:val="0000" w:firstRow="0" w:lastRow="0" w:firstColumn="0" w:lastColumn="0" w:noHBand="0" w:noVBand="0"/>
      </w:tblPr>
      <w:tblGrid>
        <w:gridCol w:w="589"/>
        <w:gridCol w:w="2422"/>
        <w:gridCol w:w="2013"/>
        <w:gridCol w:w="4444"/>
      </w:tblGrid>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 </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п/п</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Источник природной ЧС</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поражающего фактора</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Характер действия, проявления поражающего фактора источника природной ЧС</w:t>
            </w:r>
          </w:p>
        </w:tc>
      </w:tr>
      <w:tr w:rsidR="0042058C" w:rsidRPr="0042058C" w:rsidTr="0042058C">
        <w:trPr>
          <w:cantSplit/>
          <w:trHeight w:val="20"/>
          <w:tblHeade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 Опасные геологические процессы</w:t>
            </w:r>
          </w:p>
        </w:tc>
      </w:tr>
      <w:tr w:rsidR="0042058C" w:rsidRPr="0042058C" w:rsidTr="0042058C">
        <w:trPr>
          <w:cantSplit/>
          <w:trHeight w:val="20"/>
          <w:tblHeader/>
          <w:jc w:val="center"/>
        </w:trPr>
        <w:tc>
          <w:tcPr>
            <w:tcW w:w="311" w:type="pct"/>
            <w:vMerge w:val="restart"/>
            <w:tcBorders>
              <w:top w:val="single" w:sz="4" w:space="0" w:color="000000"/>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w:t>
            </w:r>
          </w:p>
        </w:tc>
        <w:tc>
          <w:tcPr>
            <w:tcW w:w="1279" w:type="pct"/>
            <w:vMerge w:val="restart"/>
            <w:tcBorders>
              <w:top w:val="single" w:sz="4" w:space="0" w:color="000000"/>
              <w:lef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Землетрясение</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Сейсмический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Сейсмический удар.</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Деформация горных пород.</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Взрывная волна.</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Гравитационное смещение горных пород, снежных масс, ледников.</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Затопление поверхностными водами.</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Деформация речных русел.</w:t>
            </w:r>
          </w:p>
        </w:tc>
      </w:tr>
      <w:tr w:rsidR="0042058C" w:rsidRPr="0042058C" w:rsidTr="0042058C">
        <w:trPr>
          <w:cantSplit/>
          <w:trHeight w:val="20"/>
          <w:tblHeader/>
          <w:jc w:val="center"/>
        </w:trPr>
        <w:tc>
          <w:tcPr>
            <w:tcW w:w="311"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vMerge/>
            <w:tcBorders>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Физический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Электромагнитное поле</w:t>
            </w:r>
          </w:p>
        </w:tc>
      </w:tr>
      <w:tr w:rsidR="0042058C" w:rsidRPr="0042058C" w:rsidTr="0042058C">
        <w:trPr>
          <w:cantSplit/>
          <w:trHeight w:val="20"/>
          <w:tblHeader/>
          <w:jc w:val="center"/>
        </w:trPr>
        <w:tc>
          <w:tcPr>
            <w:tcW w:w="311" w:type="pct"/>
            <w:vMerge w:val="restart"/>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1.2. </w:t>
            </w:r>
          </w:p>
        </w:tc>
        <w:tc>
          <w:tcPr>
            <w:tcW w:w="1279" w:type="pct"/>
            <w:vMerge w:val="restart"/>
            <w:tcBorders>
              <w:lef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Оползень, обвал</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Смещение (движение) горных пород</w:t>
            </w:r>
          </w:p>
        </w:tc>
      </w:tr>
      <w:tr w:rsidR="0042058C" w:rsidRPr="0042058C" w:rsidTr="0042058C">
        <w:trPr>
          <w:cantSplit/>
          <w:trHeight w:val="20"/>
          <w:tblHeader/>
          <w:jc w:val="center"/>
        </w:trPr>
        <w:tc>
          <w:tcPr>
            <w:tcW w:w="311"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vMerge/>
            <w:tcBorders>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Сотрясение земной поверхности. Динамическое, механическое давление смещенных масс. Удар</w:t>
            </w:r>
          </w:p>
        </w:tc>
      </w:tr>
      <w:tr w:rsidR="0042058C" w:rsidRPr="0042058C" w:rsidTr="0042058C">
        <w:trPr>
          <w:cantSplit/>
          <w:trHeight w:val="20"/>
          <w:tblHeader/>
          <w:jc w:val="center"/>
        </w:trPr>
        <w:tc>
          <w:tcPr>
            <w:tcW w:w="311"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1.3. </w:t>
            </w:r>
          </w:p>
        </w:tc>
        <w:tc>
          <w:tcPr>
            <w:tcW w:w="1279" w:type="pct"/>
            <w:tcBorders>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Просадка в лёссовых грунтах</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Деформация земной поверхности.</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Деформация грунтов</w:t>
            </w:r>
          </w:p>
        </w:tc>
      </w:tr>
      <w:tr w:rsidR="0042058C" w:rsidRPr="0042058C" w:rsidTr="0042058C">
        <w:trPr>
          <w:cantSplit/>
          <w:trHeight w:val="20"/>
          <w:tblHeader/>
          <w:jc w:val="center"/>
        </w:trPr>
        <w:tc>
          <w:tcPr>
            <w:tcW w:w="311" w:type="pct"/>
            <w:vMerge w:val="restart"/>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w:t>
            </w:r>
          </w:p>
        </w:tc>
        <w:tc>
          <w:tcPr>
            <w:tcW w:w="1279" w:type="pct"/>
            <w:vMerge w:val="restart"/>
            <w:tcBorders>
              <w:lef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Переработка берегов</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Удар волны. Размывание (разрушение) грунтов.</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Перенос (переотложение) частиц грунта</w:t>
            </w:r>
          </w:p>
        </w:tc>
      </w:tr>
      <w:tr w:rsidR="0042058C" w:rsidRPr="0042058C" w:rsidTr="0042058C">
        <w:trPr>
          <w:cantSplit/>
          <w:trHeight w:val="20"/>
          <w:tblHeader/>
          <w:jc w:val="center"/>
        </w:trPr>
        <w:tc>
          <w:tcPr>
            <w:tcW w:w="311"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vMerge/>
            <w:tcBorders>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Смещение (обрушение) пород в береговой части</w:t>
            </w:r>
          </w:p>
        </w:tc>
      </w:tr>
      <w:tr w:rsidR="0042058C" w:rsidRPr="0042058C" w:rsidTr="0042058C">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 Опасные гидрологические явления и процессы</w:t>
            </w:r>
          </w:p>
        </w:tc>
      </w:tr>
      <w:tr w:rsidR="0042058C" w:rsidRPr="0042058C" w:rsidTr="0042058C">
        <w:trPr>
          <w:cantSplit/>
          <w:trHeight w:val="20"/>
          <w:jc w:val="center"/>
        </w:trPr>
        <w:tc>
          <w:tcPr>
            <w:tcW w:w="311" w:type="pct"/>
            <w:vMerge w:val="restart"/>
            <w:tcBorders>
              <w:top w:val="single" w:sz="4" w:space="0" w:color="000000"/>
              <w:left w:val="single" w:sz="4" w:space="0" w:color="000000"/>
              <w:bottom w:val="single" w:sz="4" w:space="0" w:color="auto"/>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w:t>
            </w:r>
          </w:p>
        </w:tc>
        <w:tc>
          <w:tcPr>
            <w:tcW w:w="1279" w:type="pct"/>
            <w:vMerge w:val="restart"/>
            <w:tcBorders>
              <w:top w:val="single" w:sz="4" w:space="0" w:color="000000"/>
              <w:left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Подтопление</w:t>
            </w: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Гидростатический</w:t>
            </w:r>
          </w:p>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Повышение уровня грунтовых вод</w:t>
            </w:r>
          </w:p>
          <w:p w:rsidR="0042058C" w:rsidRPr="0042058C" w:rsidRDefault="0042058C" w:rsidP="0042058C">
            <w:pPr>
              <w:spacing w:after="0" w:line="240" w:lineRule="auto"/>
              <w:jc w:val="both"/>
              <w:rPr>
                <w:rFonts w:ascii="Times New Roman" w:eastAsia="Calibri" w:hAnsi="Times New Roman" w:cs="Times New Roman"/>
                <w:sz w:val="20"/>
                <w:szCs w:val="20"/>
              </w:rPr>
            </w:pPr>
          </w:p>
        </w:tc>
      </w:tr>
      <w:tr w:rsidR="0042058C" w:rsidRPr="0042058C" w:rsidTr="0042058C">
        <w:trPr>
          <w:cantSplit/>
          <w:trHeight w:val="20"/>
          <w:jc w:val="center"/>
        </w:trPr>
        <w:tc>
          <w:tcPr>
            <w:tcW w:w="311" w:type="pct"/>
            <w:vMerge/>
            <w:tcBorders>
              <w:top w:val="single" w:sz="4" w:space="0" w:color="auto"/>
              <w:left w:val="single" w:sz="4" w:space="0" w:color="000000"/>
              <w:bottom w:val="single" w:sz="4" w:space="0" w:color="auto"/>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vMerge/>
            <w:tcBorders>
              <w:top w:val="single" w:sz="4" w:space="0" w:color="auto"/>
              <w:left w:val="single" w:sz="4" w:space="0" w:color="000000"/>
              <w:bottom w:val="single" w:sz="4" w:space="0" w:color="auto"/>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063" w:type="pct"/>
            <w:tcBorders>
              <w:top w:val="single" w:sz="4" w:space="0" w:color="auto"/>
              <w:left w:val="single" w:sz="4" w:space="0" w:color="000000"/>
              <w:bottom w:val="single" w:sz="4" w:space="0" w:color="auto"/>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auto"/>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Гидродинамическое давление потока грунтовых вод</w:t>
            </w:r>
          </w:p>
        </w:tc>
      </w:tr>
      <w:tr w:rsidR="0042058C" w:rsidRPr="0042058C" w:rsidTr="0042058C">
        <w:trPr>
          <w:cantSplit/>
          <w:trHeight w:val="20"/>
          <w:jc w:val="center"/>
        </w:trPr>
        <w:tc>
          <w:tcPr>
            <w:tcW w:w="311" w:type="pct"/>
            <w:tcBorders>
              <w:top w:val="single" w:sz="4" w:space="0" w:color="auto"/>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auto"/>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Загрязнение (засоление) почв, грунтов</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Коррозия подземных металлических конструкций</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w:t>
            </w:r>
          </w:p>
        </w:tc>
        <w:tc>
          <w:tcPr>
            <w:tcW w:w="1279"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Русловая эрозия</w:t>
            </w: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Гидродинамическое давление потока воды</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Деформация речного русла</w:t>
            </w:r>
          </w:p>
        </w:tc>
      </w:tr>
      <w:tr w:rsidR="0042058C" w:rsidRPr="0042058C" w:rsidTr="0042058C">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w:t>
            </w:r>
          </w:p>
        </w:tc>
        <w:tc>
          <w:tcPr>
            <w:tcW w:w="1279"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Наводнение. Половодье.</w:t>
            </w: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Поток (течение) воды</w:t>
            </w:r>
          </w:p>
        </w:tc>
      </w:tr>
      <w:tr w:rsidR="0042058C" w:rsidRPr="0042058C" w:rsidTr="0042058C">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Паводок.</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Катастрофический паводок</w:t>
            </w: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Загрязнение гидросферы, почв, грунтов</w:t>
            </w:r>
          </w:p>
        </w:tc>
      </w:tr>
      <w:tr w:rsidR="0042058C" w:rsidRPr="0042058C" w:rsidTr="0042058C">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 Опасные метеорологические явления и процессы</w:t>
            </w:r>
          </w:p>
        </w:tc>
      </w:tr>
      <w:tr w:rsidR="0042058C" w:rsidRPr="0042058C" w:rsidTr="0042058C">
        <w:trPr>
          <w:cantSplit/>
          <w:trHeight w:val="20"/>
          <w:jc w:val="center"/>
        </w:trPr>
        <w:tc>
          <w:tcPr>
            <w:tcW w:w="311" w:type="pct"/>
            <w:vMerge w:val="restart"/>
            <w:tcBorders>
              <w:top w:val="single" w:sz="4" w:space="0" w:color="000000"/>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Сильный ветер.</w:t>
            </w:r>
          </w:p>
        </w:tc>
        <w:tc>
          <w:tcPr>
            <w:tcW w:w="1063" w:type="pct"/>
            <w:vMerge w:val="restart"/>
            <w:tcBorders>
              <w:top w:val="single" w:sz="4" w:space="0" w:color="000000"/>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Ветровой поток</w:t>
            </w:r>
          </w:p>
        </w:tc>
      </w:tr>
      <w:tr w:rsidR="0042058C" w:rsidRPr="0042058C" w:rsidTr="0042058C">
        <w:trPr>
          <w:cantSplit/>
          <w:trHeight w:val="20"/>
          <w:jc w:val="center"/>
        </w:trPr>
        <w:tc>
          <w:tcPr>
            <w:tcW w:w="311" w:type="pct"/>
            <w:vMerge/>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Шторм</w:t>
            </w:r>
          </w:p>
        </w:tc>
        <w:tc>
          <w:tcPr>
            <w:tcW w:w="1063" w:type="pct"/>
            <w:vMerge/>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Ветровая нагрузка</w:t>
            </w:r>
          </w:p>
        </w:tc>
      </w:tr>
      <w:tr w:rsidR="0042058C" w:rsidRPr="0042058C" w:rsidTr="0042058C">
        <w:trPr>
          <w:cantSplit/>
          <w:trHeight w:val="20"/>
          <w:jc w:val="center"/>
        </w:trPr>
        <w:tc>
          <w:tcPr>
            <w:tcW w:w="311" w:type="pct"/>
            <w:vMerge/>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Шквал</w:t>
            </w:r>
          </w:p>
        </w:tc>
        <w:tc>
          <w:tcPr>
            <w:tcW w:w="1063" w:type="pct"/>
            <w:vMerge/>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Аэродинамическое давление</w:t>
            </w:r>
          </w:p>
        </w:tc>
      </w:tr>
      <w:tr w:rsidR="0042058C" w:rsidRPr="0042058C" w:rsidTr="0042058C">
        <w:trPr>
          <w:cantSplit/>
          <w:trHeight w:val="20"/>
          <w:jc w:val="center"/>
        </w:trPr>
        <w:tc>
          <w:tcPr>
            <w:tcW w:w="311"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Ураган</w:t>
            </w:r>
          </w:p>
        </w:tc>
        <w:tc>
          <w:tcPr>
            <w:tcW w:w="1063"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Вибрация</w:t>
            </w:r>
          </w:p>
        </w:tc>
      </w:tr>
      <w:tr w:rsidR="0042058C" w:rsidRPr="0042058C" w:rsidTr="0042058C">
        <w:trPr>
          <w:cantSplit/>
          <w:trHeight w:val="20"/>
          <w:jc w:val="center"/>
        </w:trPr>
        <w:tc>
          <w:tcPr>
            <w:tcW w:w="311" w:type="pct"/>
            <w:vMerge w:val="restart"/>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Смерч</w:t>
            </w:r>
          </w:p>
        </w:tc>
        <w:tc>
          <w:tcPr>
            <w:tcW w:w="1063" w:type="pct"/>
            <w:vMerge w:val="restart"/>
            <w:tcBorders>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Сильное разряжение воздуха</w:t>
            </w:r>
          </w:p>
        </w:tc>
      </w:tr>
      <w:tr w:rsidR="0042058C" w:rsidRPr="0042058C" w:rsidTr="0042058C">
        <w:trPr>
          <w:cantSplit/>
          <w:trHeight w:val="78"/>
          <w:jc w:val="center"/>
        </w:trPr>
        <w:tc>
          <w:tcPr>
            <w:tcW w:w="311"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color w:val="2D2D2D"/>
                <w:spacing w:val="2"/>
                <w:sz w:val="20"/>
                <w:szCs w:val="20"/>
                <w:shd w:val="clear" w:color="auto" w:fill="FFFFFF"/>
              </w:rPr>
            </w:pPr>
            <w:r w:rsidRPr="0042058C">
              <w:rPr>
                <w:rFonts w:ascii="Times New Roman" w:eastAsia="Calibri" w:hAnsi="Times New Roman" w:cs="Times New Roman"/>
                <w:sz w:val="20"/>
                <w:szCs w:val="20"/>
              </w:rPr>
              <w:t>Вихрь</w:t>
            </w:r>
          </w:p>
        </w:tc>
        <w:tc>
          <w:tcPr>
            <w:tcW w:w="1063"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Вихревой восходящий поток.</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Ветровая нагрузка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Сильные осадки</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3.3.1</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Продолжительный дождь (ливень)</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Поток (течение) воды. Затопление территории</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3.3.2</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Сильный снегопад</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Снеговая нагрузка </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Снежные заносы</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3.3.3</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Сильная метель</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Снеговая нагрузка </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Снежные заносы</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Ветровая нагрузка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3.3.4</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Гололед</w:t>
            </w:r>
          </w:p>
        </w:tc>
        <w:tc>
          <w:tcPr>
            <w:tcW w:w="1063" w:type="pct"/>
            <w:tcBorders>
              <w:top w:val="single" w:sz="4" w:space="0" w:color="000000"/>
              <w:left w:val="single" w:sz="4" w:space="0" w:color="000000"/>
              <w:bottom w:val="single" w:sz="4" w:space="0" w:color="000000"/>
            </w:tcBorders>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Гравитационный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Гололедная нагрузка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3.3.5</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Град</w:t>
            </w:r>
          </w:p>
        </w:tc>
        <w:tc>
          <w:tcPr>
            <w:tcW w:w="1063" w:type="pct"/>
            <w:tcBorders>
              <w:top w:val="single" w:sz="4" w:space="0" w:color="000000"/>
              <w:left w:val="single" w:sz="4" w:space="0" w:color="000000"/>
              <w:bottom w:val="single" w:sz="4" w:space="0" w:color="000000"/>
            </w:tcBorders>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Удар</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Туман</w:t>
            </w:r>
          </w:p>
        </w:tc>
        <w:tc>
          <w:tcPr>
            <w:tcW w:w="1063" w:type="pct"/>
            <w:tcBorders>
              <w:top w:val="single" w:sz="4" w:space="0" w:color="000000"/>
              <w:left w:val="single" w:sz="4" w:space="0" w:color="000000"/>
              <w:bottom w:val="single" w:sz="4" w:space="0" w:color="000000"/>
            </w:tcBorders>
            <w:vAlign w:val="bottom"/>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Снижение видимости (помутнение воздуха)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3.5.</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Заморозок</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Охлаждение почвы, воздуха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Засуха</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Нагревание почвы, воздуха</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3.7.</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Суховей</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Аэродинамический.</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Иссушение почвы</w:t>
            </w:r>
          </w:p>
        </w:tc>
      </w:tr>
      <w:tr w:rsidR="0042058C" w:rsidRPr="0042058C" w:rsidTr="0042058C">
        <w:trPr>
          <w:cantSplit/>
          <w:trHeight w:val="20"/>
          <w:jc w:val="center"/>
        </w:trPr>
        <w:tc>
          <w:tcPr>
            <w:tcW w:w="311"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3.8.</w:t>
            </w:r>
          </w:p>
        </w:tc>
        <w:tc>
          <w:tcPr>
            <w:tcW w:w="1279"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Гроза</w:t>
            </w:r>
          </w:p>
        </w:tc>
        <w:tc>
          <w:tcPr>
            <w:tcW w:w="1063"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Электрофизический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Электрические разряды</w:t>
            </w:r>
          </w:p>
        </w:tc>
      </w:tr>
      <w:tr w:rsidR="0042058C" w:rsidRPr="0042058C" w:rsidTr="0042058C">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 Природные пожары</w:t>
            </w:r>
          </w:p>
        </w:tc>
      </w:tr>
      <w:tr w:rsidR="0042058C" w:rsidRPr="0042058C" w:rsidTr="0042058C">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4.1</w:t>
            </w:r>
          </w:p>
        </w:tc>
        <w:tc>
          <w:tcPr>
            <w:tcW w:w="1279" w:type="pct"/>
            <w:vMerge w:val="restart"/>
            <w:tcBorders>
              <w:top w:val="single" w:sz="4" w:space="0" w:color="000000"/>
              <w:left w:val="single" w:sz="4" w:space="0" w:color="000000"/>
              <w:right w:val="single" w:sz="4" w:space="0" w:color="000000"/>
            </w:tcBorders>
            <w:vAlign w:val="center"/>
          </w:tcPr>
          <w:p w:rsidR="0042058C" w:rsidRPr="0042058C" w:rsidRDefault="0042058C" w:rsidP="0042058C">
            <w:pPr>
              <w:tabs>
                <w:tab w:val="left" w:pos="402"/>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Пожар ландшафтный, степной, лесной</w:t>
            </w: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Пламя. Нагрев тепловым потоком. Тепловой удар. Помутнение воздуха. Опасные дымы</w:t>
            </w:r>
          </w:p>
        </w:tc>
      </w:tr>
      <w:tr w:rsidR="0042058C" w:rsidRPr="0042058C" w:rsidTr="0042058C">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p>
        </w:tc>
        <w:tc>
          <w:tcPr>
            <w:tcW w:w="1279" w:type="pct"/>
            <w:vMerge/>
            <w:tcBorders>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rPr>
                <w:rFonts w:ascii="Times New Roman" w:eastAsia="Calibri" w:hAnsi="Times New Roman" w:cs="Times New Roman"/>
                <w:sz w:val="20"/>
                <w:szCs w:val="20"/>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tabs>
                <w:tab w:val="left" w:pos="402"/>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Загрязнение атмосферы, почвы, грунтов, гидросферы</w:t>
            </w:r>
          </w:p>
        </w:tc>
      </w:tr>
    </w:tbl>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8"/>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Чрезвычайные ситуации природного характера могут быть обусловлены метеорологическими, гидрометеорологическими факторами,</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 а также опасными геологическими процессами.</w:t>
      </w:r>
    </w:p>
    <w:p w:rsidR="0042058C" w:rsidRPr="0042058C" w:rsidRDefault="00E3531F" w:rsidP="0042058C">
      <w:pPr>
        <w:autoSpaceDE w:val="0"/>
        <w:autoSpaceDN w:val="0"/>
        <w:adjustRightInd w:val="0"/>
        <w:spacing w:after="0"/>
        <w:ind w:firstLine="708"/>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11</w:t>
      </w:r>
      <w:r w:rsidR="00E86957">
        <w:rPr>
          <w:rFonts w:ascii="Times New Roman" w:eastAsia="Times New Roman" w:hAnsi="Times New Roman" w:cs="Times New Roman"/>
          <w:noProof/>
          <w:sz w:val="28"/>
          <w:szCs w:val="28"/>
          <w:lang w:eastAsia="ru-RU"/>
        </w:rPr>
        <w:t>1</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Перечень источников чрезвычайных ситуаций природного характера возможных на территории Труновского муниципального округа</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jc w:val="center"/>
        <w:tblLayout w:type="fixed"/>
        <w:tblCellMar>
          <w:left w:w="57" w:type="dxa"/>
          <w:right w:w="57" w:type="dxa"/>
        </w:tblCellMar>
        <w:tblLook w:val="0000" w:firstRow="0" w:lastRow="0" w:firstColumn="0" w:lastColumn="0" w:noHBand="0" w:noVBand="0"/>
      </w:tblPr>
      <w:tblGrid>
        <w:gridCol w:w="584"/>
        <w:gridCol w:w="2020"/>
        <w:gridCol w:w="2414"/>
        <w:gridCol w:w="4450"/>
      </w:tblGrid>
      <w:tr w:rsidR="0042058C" w:rsidRPr="0042058C" w:rsidTr="0042058C">
        <w:trPr>
          <w:cantSplit/>
          <w:trHeight w:val="20"/>
          <w:tblHeader/>
          <w:jc w:val="center"/>
        </w:trPr>
        <w:tc>
          <w:tcPr>
            <w:tcW w:w="308"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п/п</w:t>
            </w:r>
          </w:p>
        </w:tc>
        <w:tc>
          <w:tcPr>
            <w:tcW w:w="1067"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Источник природной ЧС</w:t>
            </w:r>
          </w:p>
        </w:tc>
        <w:tc>
          <w:tcPr>
            <w:tcW w:w="1275" w:type="pct"/>
            <w:tcBorders>
              <w:top w:val="single" w:sz="4" w:space="0" w:color="000000"/>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Описание источника</w:t>
            </w:r>
          </w:p>
        </w:tc>
        <w:tc>
          <w:tcPr>
            <w:tcW w:w="2350" w:type="pct"/>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Характер действия, проявления поражающего фактора источника природной ЧС</w:t>
            </w:r>
          </w:p>
        </w:tc>
      </w:tr>
      <w:tr w:rsidR="0042058C" w:rsidRPr="0042058C" w:rsidTr="0042058C">
        <w:trPr>
          <w:cantSplit/>
          <w:trHeight w:val="20"/>
          <w:tblHeade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 Опасные метеорологические явления</w:t>
            </w:r>
          </w:p>
        </w:tc>
      </w:tr>
      <w:tr w:rsidR="0042058C" w:rsidRPr="0042058C" w:rsidTr="0042058C">
        <w:trPr>
          <w:cantSplit/>
          <w:trHeight w:val="469"/>
          <w:tblHeader/>
          <w:jc w:val="center"/>
        </w:trPr>
        <w:tc>
          <w:tcPr>
            <w:tcW w:w="308" w:type="pct"/>
            <w:tcBorders>
              <w:top w:val="single" w:sz="4" w:space="0" w:color="000000"/>
              <w:lef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w:t>
            </w:r>
          </w:p>
        </w:tc>
        <w:tc>
          <w:tcPr>
            <w:tcW w:w="1067" w:type="pct"/>
            <w:tcBorders>
              <w:top w:val="single" w:sz="4" w:space="0" w:color="000000"/>
              <w:lef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Заморозки</w:t>
            </w:r>
          </w:p>
        </w:tc>
        <w:tc>
          <w:tcPr>
            <w:tcW w:w="1275" w:type="pct"/>
            <w:vMerge w:val="restart"/>
            <w:tcBorders>
              <w:top w:val="single" w:sz="4" w:space="0" w:color="000000"/>
              <w:left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Понижение температуры воздуха или почвы ниже 0°С после перехода средней суточной температуры воздуха через 15°С весной и до перехода её через 15°С осенью.</w:t>
            </w:r>
          </w:p>
        </w:tc>
        <w:tc>
          <w:tcPr>
            <w:tcW w:w="2350" w:type="pct"/>
            <w:vMerge w:val="restart"/>
            <w:tcBorders>
              <w:top w:val="single" w:sz="4" w:space="0" w:color="000000"/>
              <w:left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Часто отмечаются на территории МО в зимний период.</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Явление очень опасно для сельского хозяйства, с заморозками может быть связано уничтожение всех посевов. Наиболее опасны адвективно-радиационные заморозки, образующиеся поздней весной или ранней осенью, после продолжительного теплого периода.</w:t>
            </w:r>
          </w:p>
        </w:tc>
      </w:tr>
      <w:tr w:rsidR="0042058C" w:rsidRPr="0042058C" w:rsidTr="0042058C">
        <w:trPr>
          <w:cantSplit/>
          <w:trHeight w:val="219"/>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275" w:type="pct"/>
            <w:vMerge/>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350" w:type="pct"/>
            <w:vMerge/>
            <w:tcBorders>
              <w:left w:val="single" w:sz="4" w:space="0" w:color="000000"/>
              <w:bottom w:val="single" w:sz="4" w:space="0" w:color="000000"/>
              <w:right w:val="single" w:sz="4" w:space="0" w:color="000000"/>
            </w:tcBorders>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cantSplit/>
          <w:trHeight w:val="2332"/>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Гололед, гололедица</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Нарастающие </w:t>
            </w:r>
            <w:hyperlink r:id="rId49" w:tooltip="Атмосферные осадки" w:history="1">
              <w:r w:rsidRPr="0042058C">
                <w:rPr>
                  <w:rFonts w:ascii="Times New Roman" w:eastAsia="Calibri" w:hAnsi="Times New Roman" w:cs="Times New Roman"/>
                  <w:sz w:val="20"/>
                  <w:szCs w:val="20"/>
                </w:rPr>
                <w:t>атмосферные осадки</w:t>
              </w:r>
            </w:hyperlink>
            <w:r w:rsidRPr="0042058C">
              <w:rPr>
                <w:rFonts w:ascii="Times New Roman" w:eastAsia="Calibri" w:hAnsi="Times New Roman" w:cs="Times New Roman"/>
                <w:sz w:val="20"/>
                <w:szCs w:val="20"/>
              </w:rPr>
              <w:t xml:space="preserve"> в виде слоя плотного стекловидного льда, образующегося на растениях, проводах, предметах, поверхности земли, в том числе на пешеходных и автомобильных дорогах в результате понижения температуры до 0°С и ниже.</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Часто отмечаются на территории МО в зимний период, диаметр отложений 20 мм.</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При развитии этих метеорологических явлений существует вероятность возникновения происшествий связанных с ухудшением условий дорожного движения, увеличением количества ДТП, нарушениями в работе транспорта, повреждением линий связи и ЛЭП, деревьев, нарушением в работе систем жизнеобеспечения, а также получение травм различного характера в результате падения на скользкой дороге.</w:t>
            </w:r>
          </w:p>
        </w:tc>
      </w:tr>
      <w:tr w:rsidR="0042058C" w:rsidRPr="0042058C" w:rsidTr="0042058C">
        <w:trPr>
          <w:cantSplit/>
          <w:trHeight w:val="551"/>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1.3. </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Сильные метели, снегопады</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Скорость ветра не менее 15 м/с, видимость не более 500 м и продолжительность не менее 12 часов. </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Часто отмечаются на территории МО, только в зимний период с ноября по февраль. Снегопады превышают 20 мм за 24 часа, вес снежного покрова расчетный – 240 кг/м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 xml:space="preserve">. С такими неблагоприятными природными явлениями связано увеличение количества ДТП, нарушения в работе транспорта, повреждения линий связи и ЛЭП, деревьев, нарушения в работе систем жизнеобеспечения. </w:t>
            </w:r>
          </w:p>
        </w:tc>
      </w:tr>
      <w:tr w:rsidR="0042058C" w:rsidRPr="0042058C" w:rsidTr="0042058C">
        <w:trPr>
          <w:cantSplit/>
          <w:trHeight w:val="620"/>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Засуха</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Это опасное метеорологическое явление, обусловленное отсутствием в летнее время осадков. </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Часто отмечаются на территории МО, только в летний период в июле и августе. С этим явлением связаны большие повреждения сельскохозяйственных угодий, обострения сердечно-сосудистых заболеваний и тепловые удары у населения.</w:t>
            </w:r>
          </w:p>
          <w:p w:rsidR="0042058C" w:rsidRPr="0042058C" w:rsidRDefault="0042058C" w:rsidP="0042058C">
            <w:pPr>
              <w:spacing w:after="0" w:line="240" w:lineRule="auto"/>
              <w:jc w:val="both"/>
              <w:rPr>
                <w:rFonts w:ascii="Times New Roman" w:eastAsia="Calibri" w:hAnsi="Times New Roman" w:cs="Times New Roman"/>
                <w:sz w:val="20"/>
                <w:szCs w:val="20"/>
              </w:rPr>
            </w:pPr>
          </w:p>
        </w:tc>
      </w:tr>
      <w:tr w:rsidR="0042058C" w:rsidRPr="0042058C" w:rsidTr="0042058C">
        <w:trPr>
          <w:cantSplit/>
          <w:trHeight w:val="620"/>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Ливни, град, грозы</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Опасные метеорологические явления, носящие затяжной характер и губительный характер. </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Редко отмечаются на территории МО. Ливни длятся 120 часов и более, с интенсивностью 30 мм в час и более. Среднемноголетняя повторяемость таких ливней составляет 5-7 раз в год, а очень сильных дождей 1 раз в 1-2 года. Град с диаметром частиц 20 мм. Грозы 40-60 часов в год. Экстремальное количество и большая продолжительность выпадения осадков могут быть причиной чрезвычайных ситуаций. Ливни и град наносят значительный урон человеку и его имуществу, а также влияют на урожай. </w:t>
            </w:r>
          </w:p>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Сильные ливни </w:t>
            </w:r>
          </w:p>
        </w:tc>
      </w:tr>
      <w:tr w:rsidR="0042058C" w:rsidRPr="0042058C" w:rsidTr="0042058C">
        <w:trPr>
          <w:cantSplit/>
          <w:trHeight w:val="27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Сильные ветры</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Это воздушные потоки со скоростью 23 м/с и более, к которым относится целая группа опасных ветровых явлений (ураганы, бури, шквалы, смерчи и другие).</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Редко отмечаются на территории МО, дин раз в 2-3 года отмечается ветер со скоростью более 24-28 м/с, в отдельных местах его скорость достигает 30 м/с. Сильные ветры наносят большой ущерб хозяйству, особенно – сельскому, а также – населению.</w:t>
            </w:r>
          </w:p>
        </w:tc>
      </w:tr>
      <w:tr w:rsidR="0042058C" w:rsidRPr="0042058C" w:rsidTr="0042058C">
        <w:trPr>
          <w:cantSplit/>
          <w:trHeight w:val="27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Сильные туманы</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Туман с видимостью менее 100м и продолжительностью более 12 часов</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Редко отмечаются на территории МО, туманы ограничивают видимость, что приводит к увеличению количества ДТП, нарушению в работе транспорта, повреждениям линий связи и ЛЭП.</w:t>
            </w:r>
          </w:p>
        </w:tc>
      </w:tr>
      <w:tr w:rsidR="0042058C" w:rsidRPr="0042058C" w:rsidTr="0042058C">
        <w:trPr>
          <w:cantSplit/>
          <w:trHeight w:val="275"/>
          <w:tblHeader/>
          <w:jc w:val="center"/>
        </w:trPr>
        <w:tc>
          <w:tcPr>
            <w:tcW w:w="308" w:type="pct"/>
            <w:tcBorders>
              <w:top w:val="single" w:sz="4" w:space="0" w:color="auto"/>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w:t>
            </w:r>
          </w:p>
        </w:tc>
        <w:tc>
          <w:tcPr>
            <w:tcW w:w="1067" w:type="pct"/>
            <w:tcBorders>
              <w:top w:val="single" w:sz="4" w:space="0" w:color="auto"/>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Суховей</w:t>
            </w:r>
          </w:p>
        </w:tc>
        <w:tc>
          <w:tcPr>
            <w:tcW w:w="1275" w:type="pct"/>
            <w:tcBorders>
              <w:top w:val="single" w:sz="4" w:space="0" w:color="auto"/>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Ветер со скоростью 5 м/с и более при температуре воздуха 30°С и выше и относительной влажности воздуха 20% и менее.</w:t>
            </w:r>
          </w:p>
        </w:tc>
        <w:tc>
          <w:tcPr>
            <w:tcW w:w="2350" w:type="pct"/>
            <w:tcBorders>
              <w:top w:val="single" w:sz="4" w:space="0" w:color="auto"/>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Часто отмечаются на территории МО, что приводит к образованию пыльной бури. Наблюдается в течение 5 дней подряд и более в период цветения, налива и созревания зерновых колосовых культур. Суховеи приводят к гибели сельскохозяйственных культур и обострению аллергических реакций населения. </w:t>
            </w:r>
          </w:p>
        </w:tc>
      </w:tr>
      <w:tr w:rsidR="0042058C" w:rsidRPr="0042058C" w:rsidTr="0042058C">
        <w:trPr>
          <w:cantSplit/>
          <w:trHeight w:val="265"/>
          <w:tblHeader/>
          <w:jc w:val="center"/>
        </w:trPr>
        <w:tc>
          <w:tcPr>
            <w:tcW w:w="5000" w:type="pct"/>
            <w:gridSpan w:val="4"/>
            <w:tcBorders>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 Опасные гидрогеологические явления</w:t>
            </w:r>
          </w:p>
        </w:tc>
      </w:tr>
      <w:tr w:rsidR="0042058C" w:rsidRPr="0042058C" w:rsidTr="0042058C">
        <w:trPr>
          <w:cantSplit/>
          <w:trHeight w:val="26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w:t>
            </w: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Затопление</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Затопление – покрытие территории водой в период половодья или паводков.</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Редко отмечаются на территории МО. Все реки имеют один весенний паводок. Может сложиться сложная паводковая обстановка, вызванная резким подъёмом уровней воды в реке Егорлык в период таяния снегов, наложения обильных, продолжительных осадков. </w:t>
            </w:r>
          </w:p>
        </w:tc>
      </w:tr>
      <w:tr w:rsidR="0042058C" w:rsidRPr="0042058C" w:rsidTr="0042058C">
        <w:trPr>
          <w:cantSplit/>
          <w:trHeight w:val="265"/>
          <w:tblHeader/>
          <w:jc w:val="center"/>
        </w:trPr>
        <w:tc>
          <w:tcPr>
            <w:tcW w:w="5000" w:type="pct"/>
            <w:gridSpan w:val="4"/>
            <w:tcBorders>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highlight w:val="yellow"/>
              </w:rPr>
            </w:pPr>
            <w:r w:rsidRPr="0042058C">
              <w:rPr>
                <w:rFonts w:ascii="Times New Roman" w:eastAsia="Calibri" w:hAnsi="Times New Roman" w:cs="Times New Roman"/>
                <w:sz w:val="20"/>
                <w:szCs w:val="20"/>
              </w:rPr>
              <w:t>3. Опасные геологические явления</w:t>
            </w:r>
          </w:p>
        </w:tc>
      </w:tr>
      <w:tr w:rsidR="0042058C" w:rsidRPr="0042058C" w:rsidTr="0042058C">
        <w:trPr>
          <w:cantSplit/>
          <w:trHeight w:val="1116"/>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Оползни</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Оползень представляет собой огромные массы поверхностного слоя, смещающиеся по различным причинам. Оползнями выводятся многие гектары ценных земель, могут быть причиной разрушения инженерных сооружений, представлять угрозу жизни и здоровью населения.</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Редко отмечаются на территории МО. Имеющиеся оползни не представляют никакой опасности для функционирования населенных пунктов. </w:t>
            </w:r>
          </w:p>
        </w:tc>
      </w:tr>
      <w:tr w:rsidR="0042058C" w:rsidRPr="0042058C" w:rsidTr="0042058C">
        <w:trPr>
          <w:cantSplit/>
          <w:trHeight w:val="26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Просадочность лессовых грунтов</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Просадочность грунтов – это способность уменьшать свой объем при замачивании под собственным весом без возможности бокового расширения.</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Просадки лессовых пород являются наиболее опасным для строительства процессом. Неравномерные осадки сооружений могут быть причиной их деформаций и даже – разрушений, а следовательно, – и чрезвычайных ситуаций.</w:t>
            </w:r>
          </w:p>
        </w:tc>
      </w:tr>
      <w:tr w:rsidR="0042058C" w:rsidRPr="0042058C" w:rsidTr="0042058C">
        <w:trPr>
          <w:cantSplit/>
          <w:trHeight w:val="26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Подтопление территории</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Повышение уровня грунтовых вод, нарушающее нормальное использование территории, строительство и эксплуатацию расположенных на ней объектов.</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Отмечается на территории округа, носит локальный характер, за пределами жилой застройки населенных пунктов. В связи с повышением уровня подземных вод, связанным с эксплуатацией промышленных, гражданских, ирригационных и гидротехнических сооружений, подтопление стало одним из самых опасных для строительства процессом.</w:t>
            </w:r>
          </w:p>
        </w:tc>
      </w:tr>
      <w:tr w:rsidR="0042058C" w:rsidRPr="0042058C" w:rsidTr="0042058C">
        <w:trPr>
          <w:cantSplit/>
          <w:trHeight w:val="26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Сейсмичность</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Распределение в пространстве и времени очагов землетрясений различных амплитуд, обусловленное тектоническими подвижками пород земной коры и верхней мантии Земли в результате их геодинамического деформирования.</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Территория МО относится к 7 балльной сейсмической зоне. За счет постоянного ухудшения состояния геологической среды сейсмическая интенсивность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 активизации опасных геологических процессов.</w:t>
            </w:r>
          </w:p>
        </w:tc>
      </w:tr>
      <w:tr w:rsidR="0042058C" w:rsidRPr="0042058C" w:rsidTr="0042058C">
        <w:trPr>
          <w:cantSplit/>
          <w:trHeight w:val="70"/>
          <w:tblHeader/>
          <w:jc w:val="center"/>
        </w:trPr>
        <w:tc>
          <w:tcPr>
            <w:tcW w:w="5000" w:type="pct"/>
            <w:gridSpan w:val="4"/>
            <w:tcBorders>
              <w:left w:val="single" w:sz="4" w:space="0" w:color="000000"/>
              <w:bottom w:val="single" w:sz="4" w:space="0" w:color="000000"/>
              <w:right w:val="single" w:sz="4" w:space="0" w:color="000000"/>
            </w:tcBorders>
            <w:vAlign w:val="center"/>
          </w:tcPr>
          <w:p w:rsidR="0042058C" w:rsidRPr="0042058C" w:rsidRDefault="0042058C" w:rsidP="0042058C">
            <w:pPr>
              <w:spacing w:after="0" w:line="240" w:lineRule="auto"/>
              <w:jc w:val="center"/>
              <w:rPr>
                <w:rFonts w:ascii="Times New Roman" w:eastAsia="Calibri" w:hAnsi="Times New Roman" w:cs="Times New Roman"/>
                <w:sz w:val="20"/>
                <w:szCs w:val="20"/>
                <w:highlight w:val="yellow"/>
              </w:rPr>
            </w:pPr>
            <w:r w:rsidRPr="0042058C">
              <w:rPr>
                <w:rFonts w:ascii="Times New Roman" w:eastAsia="Calibri" w:hAnsi="Times New Roman" w:cs="Times New Roman"/>
                <w:sz w:val="20"/>
                <w:szCs w:val="20"/>
              </w:rPr>
              <w:t>4. Природные пожары</w:t>
            </w:r>
          </w:p>
        </w:tc>
      </w:tr>
      <w:tr w:rsidR="0042058C" w:rsidRPr="0042058C" w:rsidTr="0042058C">
        <w:trPr>
          <w:cantSplit/>
          <w:trHeight w:val="265"/>
          <w:tblHeader/>
          <w:jc w:val="center"/>
        </w:trPr>
        <w:tc>
          <w:tcPr>
            <w:tcW w:w="308"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p>
        </w:tc>
        <w:tc>
          <w:tcPr>
            <w:tcW w:w="1067"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Природные пожары</w:t>
            </w:r>
          </w:p>
        </w:tc>
        <w:tc>
          <w:tcPr>
            <w:tcW w:w="1275" w:type="pct"/>
            <w:tcBorders>
              <w:left w:val="single" w:sz="4" w:space="0" w:color="000000"/>
              <w:bottom w:val="single" w:sz="4" w:space="0" w:color="000000"/>
            </w:tcBorders>
            <w:vAlign w:val="center"/>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Неконтролируемый процесс горения, стихийно возникающий и распространяющийся в природной среде. Природные пожары подразделяются на лесные и степные пожары.</w:t>
            </w:r>
          </w:p>
        </w:tc>
        <w:tc>
          <w:tcPr>
            <w:tcW w:w="2350" w:type="pct"/>
            <w:tcBorders>
              <w:left w:val="single" w:sz="4" w:space="0" w:color="000000"/>
              <w:bottom w:val="single" w:sz="4" w:space="0" w:color="000000"/>
              <w:right w:val="single" w:sz="4" w:space="0" w:color="000000"/>
            </w:tcBorders>
          </w:tcPr>
          <w:p w:rsidR="0042058C" w:rsidRPr="0042058C" w:rsidRDefault="0042058C" w:rsidP="0042058C">
            <w:pPr>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Редко отмечается, особенно в летнее время. Существует вероятность возникновения происшествий, связанных с низовыми беглыми и низовыми устойчивыми степными пожарами Пожары возникают и по человеческой халатности, из-за поджога стерни (остатков стеблей злаков после уборки урожая).</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На территории муниципального округа имеют место ливневые дожди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градом, ураганный ветер, заморозки в период вегетации и созревания сельскохозяйственных культур, гололед, засуха, суховее, затопление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подтопление территории, лесные пожары и т.д.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E3531F"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Таблица 11</w:t>
      </w:r>
      <w:r w:rsidR="00E86957">
        <w:rPr>
          <w:rFonts w:ascii="Times New Roman" w:eastAsia="Times New Roman" w:hAnsi="Times New Roman" w:cs="Times New Roman"/>
          <w:noProof/>
          <w:sz w:val="28"/>
          <w:szCs w:val="28"/>
          <w:lang w:eastAsia="ru-RU"/>
        </w:rPr>
        <w:t>2</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Показатели риска природных чрезвычайных ситуаций (при наиболее опасном сценарии развития ЧС / при наиболее вероятном сценарии развития ЧС)</w:t>
      </w:r>
      <w:r w:rsidRPr="0042058C">
        <w:rPr>
          <w:rFonts w:ascii="Times New Roman" w:eastAsia="Times New Roman" w:hAnsi="Times New Roman" w:cs="Times New Roman"/>
          <w:noProof/>
          <w:sz w:val="28"/>
          <w:szCs w:val="28"/>
          <w:vertAlign w:val="superscript"/>
          <w:lang w:eastAsia="ru-RU"/>
        </w:rPr>
        <w:footnoteReference w:id="101"/>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CellMar>
          <w:left w:w="10" w:type="dxa"/>
          <w:right w:w="10" w:type="dxa"/>
        </w:tblCellMar>
        <w:tblLook w:val="0000" w:firstRow="0" w:lastRow="0" w:firstColumn="0" w:lastColumn="0" w:noHBand="0" w:noVBand="0"/>
      </w:tblPr>
      <w:tblGrid>
        <w:gridCol w:w="430"/>
        <w:gridCol w:w="2426"/>
        <w:gridCol w:w="519"/>
        <w:gridCol w:w="673"/>
        <w:gridCol w:w="709"/>
        <w:gridCol w:w="699"/>
        <w:gridCol w:w="1153"/>
        <w:gridCol w:w="1153"/>
        <w:gridCol w:w="544"/>
        <w:gridCol w:w="521"/>
        <w:gridCol w:w="547"/>
      </w:tblGrid>
      <w:tr w:rsidR="0042058C" w:rsidRPr="0042058C" w:rsidTr="0042058C">
        <w:trPr>
          <w:trHeight w:hRule="exact" w:val="889"/>
        </w:trPr>
        <w:tc>
          <w:tcPr>
            <w:tcW w:w="1523" w:type="pct"/>
            <w:gridSpan w:val="2"/>
            <w:vMerge w:val="restar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Виды</w:t>
            </w:r>
          </w:p>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опасных природных явлений</w:t>
            </w:r>
          </w:p>
        </w:tc>
        <w:tc>
          <w:tcPr>
            <w:tcW w:w="277"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Интенсивность природного явления</w:t>
            </w:r>
          </w:p>
        </w:tc>
        <w:tc>
          <w:tcPr>
            <w:tcW w:w="359"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Частота природного явления</w:t>
            </w:r>
          </w:p>
        </w:tc>
        <w:tc>
          <w:tcPr>
            <w:tcW w:w="378"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Частота наступления ЧС при возникновении природного явления</w:t>
            </w:r>
          </w:p>
        </w:tc>
        <w:tc>
          <w:tcPr>
            <w:tcW w:w="373"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Размеры зон вероятной чрезвычайной ситуации км</w:t>
            </w:r>
            <w:r w:rsidRPr="0042058C">
              <w:rPr>
                <w:rFonts w:ascii="Times New Roman" w:eastAsia="Calibri" w:hAnsi="Times New Roman" w:cs="Times New Roman"/>
                <w:bCs/>
                <w:sz w:val="20"/>
                <w:szCs w:val="20"/>
                <w:vertAlign w:val="superscript"/>
              </w:rPr>
              <w:t>2</w:t>
            </w:r>
          </w:p>
        </w:tc>
        <w:tc>
          <w:tcPr>
            <w:tcW w:w="615"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Возможное количество населенных пунктов, попадающих в зону чрезвычайных ситуаций/тыс. чел</w:t>
            </w:r>
          </w:p>
        </w:tc>
        <w:tc>
          <w:tcPr>
            <w:tcW w:w="615" w:type="pct"/>
            <w:vMerge w:val="restar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Возможная численность населения в зоне чрезвычайной ситуации с нарушением условий жизнедеятельности тыс. чел</w:t>
            </w:r>
          </w:p>
        </w:tc>
        <w:tc>
          <w:tcPr>
            <w:tcW w:w="860" w:type="pct"/>
            <w:gridSpan w:val="3"/>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Социально-экономические последствия</w:t>
            </w:r>
          </w:p>
        </w:tc>
      </w:tr>
      <w:tr w:rsidR="0042058C" w:rsidRPr="0042058C" w:rsidTr="0042058C">
        <w:trPr>
          <w:trHeight w:hRule="exact" w:val="2560"/>
        </w:trPr>
        <w:tc>
          <w:tcPr>
            <w:tcW w:w="1523" w:type="pct"/>
            <w:gridSpan w:val="2"/>
            <w:vMerge/>
            <w:tcBorders>
              <w:left w:val="single" w:sz="4" w:space="0" w:color="auto"/>
            </w:tcBorders>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77"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359"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378"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373"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615"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615" w:type="pct"/>
            <w:vMerge/>
            <w:tcBorders>
              <w:left w:val="single" w:sz="4" w:space="0" w:color="auto"/>
            </w:tcBorders>
            <w:shd w:val="clear" w:color="auto" w:fill="FFFFFF"/>
            <w:textDirection w:val="btLr"/>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290" w:type="pc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Возможное число погибших, чел.</w:t>
            </w:r>
          </w:p>
        </w:tc>
        <w:tc>
          <w:tcPr>
            <w:tcW w:w="278" w:type="pct"/>
            <w:tcBorders>
              <w:top w:val="single" w:sz="4" w:space="0" w:color="auto"/>
              <w:lef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Возможное число пострадавших, чел.</w:t>
            </w:r>
          </w:p>
        </w:tc>
        <w:tc>
          <w:tcPr>
            <w:tcW w:w="292" w:type="pct"/>
            <w:tcBorders>
              <w:top w:val="single" w:sz="4" w:space="0" w:color="auto"/>
              <w:left w:val="single" w:sz="4" w:space="0" w:color="auto"/>
              <w:right w:val="single" w:sz="4" w:space="0" w:color="auto"/>
            </w:tcBorders>
            <w:shd w:val="clear" w:color="auto" w:fill="FFFFFF"/>
            <w:textDirection w:val="btL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Возможный ущерб, тысяч рублей</w:t>
            </w:r>
          </w:p>
        </w:tc>
      </w:tr>
      <w:tr w:rsidR="0042058C" w:rsidRPr="0042058C" w:rsidTr="0042058C">
        <w:trPr>
          <w:trHeight w:hRule="exact" w:val="284"/>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1</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Землетрясения, балл</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1/1000</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1/1000</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470</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10/34,6</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21500</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1183</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3010</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281,0</w:t>
            </w:r>
          </w:p>
        </w:tc>
      </w:tr>
      <w:tr w:rsidR="0042058C" w:rsidRPr="0042058C" w:rsidTr="0042058C">
        <w:trPr>
          <w:trHeight w:hRule="exact" w:val="288"/>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2</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Извержения вулканов</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1/1000</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1/1000</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267</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5/9,701</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6900</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380</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966</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197,0</w:t>
            </w:r>
          </w:p>
        </w:tc>
      </w:tr>
      <w:tr w:rsidR="0042058C" w:rsidRPr="0042058C" w:rsidTr="0042058C">
        <w:trPr>
          <w:trHeight w:hRule="exact" w:val="288"/>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3</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Оползни, 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284"/>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4</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Селевые потоки</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284"/>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5</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Снежные лавины, 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495"/>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6</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Ураганы, тайфуны, смерчи м/с</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32 и более</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431"/>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7</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Бури, м/с</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15-31</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8*10</w:t>
            </w:r>
            <w:r w:rsidRPr="0042058C">
              <w:rPr>
                <w:rFonts w:ascii="Times New Roman" w:eastAsia="Calibri" w:hAnsi="Times New Roman" w:cs="Times New Roman"/>
                <w:bCs/>
                <w:sz w:val="20"/>
                <w:szCs w:val="20"/>
                <w:vertAlign w:val="superscript"/>
              </w:rPr>
              <w:t>-1</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3*10</w:t>
            </w:r>
            <w:r w:rsidRPr="0042058C">
              <w:rPr>
                <w:rFonts w:ascii="Times New Roman" w:eastAsia="Calibri" w:hAnsi="Times New Roman" w:cs="Times New Roman"/>
                <w:bCs/>
                <w:sz w:val="20"/>
                <w:szCs w:val="20"/>
                <w:vertAlign w:val="superscript"/>
              </w:rPr>
              <w:t>-1</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943</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15/34,6</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25000</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25</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320</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26,0</w:t>
            </w:r>
          </w:p>
        </w:tc>
      </w:tr>
      <w:tr w:rsidR="0042058C" w:rsidRPr="0042058C" w:rsidTr="0042058C">
        <w:trPr>
          <w:trHeight w:hRule="exact" w:val="288"/>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8</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Штормы, м/с</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20-31</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499"/>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9</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Град, мм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 и более</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5*10</w:t>
            </w:r>
            <w:r w:rsidRPr="0042058C">
              <w:rPr>
                <w:rFonts w:ascii="Times New Roman" w:eastAsia="Calibri" w:hAnsi="Times New Roman" w:cs="Times New Roman"/>
                <w:bCs/>
                <w:sz w:val="20"/>
                <w:szCs w:val="20"/>
                <w:vertAlign w:val="superscript"/>
              </w:rPr>
              <w:t>-1</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3*10</w:t>
            </w:r>
            <w:r w:rsidRPr="0042058C">
              <w:rPr>
                <w:rFonts w:ascii="Times New Roman" w:eastAsia="Calibri" w:hAnsi="Times New Roman" w:cs="Times New Roman"/>
                <w:bCs/>
                <w:sz w:val="20"/>
                <w:szCs w:val="20"/>
                <w:vertAlign w:val="superscript"/>
              </w:rPr>
              <w:t>-1</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943</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6/20,0</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1500</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81</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13,1</w:t>
            </w:r>
          </w:p>
        </w:tc>
      </w:tr>
      <w:tr w:rsidR="0042058C" w:rsidRPr="0042058C" w:rsidTr="0042058C">
        <w:trPr>
          <w:trHeight w:hRule="exact" w:val="288"/>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10</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Цунами, 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281"/>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bCs/>
                <w:sz w:val="20"/>
                <w:szCs w:val="20"/>
              </w:rPr>
              <w:t>11</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Наводнения, 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r>
      <w:tr w:rsidR="0042058C" w:rsidRPr="0042058C" w:rsidTr="0042058C">
        <w:trPr>
          <w:trHeight w:hRule="exact" w:val="288"/>
        </w:trPr>
        <w:tc>
          <w:tcPr>
            <w:tcW w:w="22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Arial" w:hAnsi="Times New Roman" w:cs="Times New Roman"/>
                <w:bCs/>
                <w:color w:val="000000"/>
                <w:sz w:val="20"/>
                <w:szCs w:val="20"/>
                <w:shd w:val="clear" w:color="auto" w:fill="FFFFFF"/>
                <w:lang w:bidi="ru-RU"/>
              </w:rPr>
              <w:t>12</w:t>
            </w:r>
          </w:p>
        </w:tc>
        <w:tc>
          <w:tcPr>
            <w:tcW w:w="1294"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Arial" w:hAnsi="Times New Roman" w:cs="Times New Roman"/>
                <w:bCs/>
                <w:color w:val="000000"/>
                <w:sz w:val="20"/>
                <w:szCs w:val="20"/>
                <w:shd w:val="clear" w:color="auto" w:fill="FFFFFF"/>
                <w:lang w:bidi="ru-RU"/>
              </w:rPr>
              <w:t>Подтопления, м</w:t>
            </w:r>
          </w:p>
        </w:tc>
        <w:tc>
          <w:tcPr>
            <w:tcW w:w="277"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7*10</w:t>
            </w:r>
            <w:r w:rsidRPr="0042058C">
              <w:rPr>
                <w:rFonts w:ascii="Times New Roman" w:eastAsia="Calibri" w:hAnsi="Times New Roman" w:cs="Times New Roman"/>
                <w:bCs/>
                <w:sz w:val="20"/>
                <w:szCs w:val="20"/>
                <w:vertAlign w:val="superscript"/>
              </w:rPr>
              <w:t>-2</w:t>
            </w:r>
          </w:p>
        </w:tc>
        <w:tc>
          <w:tcPr>
            <w:tcW w:w="3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3*10</w:t>
            </w:r>
            <w:r w:rsidRPr="0042058C">
              <w:rPr>
                <w:rFonts w:ascii="Times New Roman" w:eastAsia="Calibri" w:hAnsi="Times New Roman" w:cs="Times New Roman"/>
                <w:bCs/>
                <w:sz w:val="20"/>
                <w:szCs w:val="20"/>
                <w:vertAlign w:val="superscript"/>
              </w:rPr>
              <w:t>-2</w:t>
            </w:r>
          </w:p>
        </w:tc>
        <w:tc>
          <w:tcPr>
            <w:tcW w:w="373"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1025</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2/7,95</w:t>
            </w:r>
          </w:p>
        </w:tc>
        <w:tc>
          <w:tcPr>
            <w:tcW w:w="615"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1,14</w:t>
            </w:r>
          </w:p>
        </w:tc>
        <w:tc>
          <w:tcPr>
            <w:tcW w:w="290"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278" w:type="pct"/>
            <w:tcBorders>
              <w:top w:val="single" w:sz="4" w:space="0" w:color="auto"/>
              <w:lef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76</w:t>
            </w:r>
          </w:p>
        </w:tc>
        <w:tc>
          <w:tcPr>
            <w:tcW w:w="292" w:type="pct"/>
            <w:tcBorders>
              <w:top w:val="single" w:sz="4" w:space="0" w:color="auto"/>
              <w:left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4,5</w:t>
            </w:r>
          </w:p>
        </w:tc>
      </w:tr>
      <w:tr w:rsidR="0042058C" w:rsidRPr="0042058C" w:rsidTr="0042058C">
        <w:trPr>
          <w:trHeight w:hRule="exact" w:val="313"/>
        </w:trPr>
        <w:tc>
          <w:tcPr>
            <w:tcW w:w="229"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Arial" w:hAnsi="Times New Roman" w:cs="Times New Roman"/>
                <w:bCs/>
                <w:color w:val="000000"/>
                <w:sz w:val="20"/>
                <w:szCs w:val="20"/>
                <w:shd w:val="clear" w:color="auto" w:fill="FFFFFF"/>
                <w:lang w:bidi="ru-RU"/>
              </w:rPr>
              <w:t>13</w:t>
            </w:r>
          </w:p>
        </w:tc>
        <w:tc>
          <w:tcPr>
            <w:tcW w:w="1294"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rPr>
                <w:rFonts w:ascii="Times New Roman" w:eastAsia="Calibri" w:hAnsi="Times New Roman" w:cs="Times New Roman"/>
                <w:sz w:val="20"/>
                <w:szCs w:val="20"/>
              </w:rPr>
            </w:pPr>
            <w:r w:rsidRPr="0042058C">
              <w:rPr>
                <w:rFonts w:ascii="Times New Roman" w:eastAsia="Arial" w:hAnsi="Times New Roman" w:cs="Times New Roman"/>
                <w:bCs/>
                <w:color w:val="000000"/>
                <w:sz w:val="20"/>
                <w:szCs w:val="20"/>
                <w:shd w:val="clear" w:color="auto" w:fill="FFFFFF"/>
                <w:lang w:bidi="ru-RU"/>
              </w:rPr>
              <w:t>Пожары природные, га</w:t>
            </w:r>
          </w:p>
        </w:tc>
        <w:tc>
          <w:tcPr>
            <w:tcW w:w="277"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w:t>
            </w:r>
          </w:p>
        </w:tc>
        <w:tc>
          <w:tcPr>
            <w:tcW w:w="359"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7*10</w:t>
            </w:r>
            <w:r w:rsidRPr="0042058C">
              <w:rPr>
                <w:rFonts w:ascii="Times New Roman" w:eastAsia="Calibri" w:hAnsi="Times New Roman" w:cs="Times New Roman"/>
                <w:bCs/>
                <w:sz w:val="20"/>
                <w:szCs w:val="20"/>
                <w:vertAlign w:val="superscript"/>
              </w:rPr>
              <w:t>-3</w:t>
            </w:r>
          </w:p>
        </w:tc>
        <w:tc>
          <w:tcPr>
            <w:tcW w:w="378"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7*10</w:t>
            </w:r>
            <w:r w:rsidRPr="0042058C">
              <w:rPr>
                <w:rFonts w:ascii="Times New Roman" w:eastAsia="Calibri" w:hAnsi="Times New Roman" w:cs="Times New Roman"/>
                <w:bCs/>
                <w:sz w:val="20"/>
                <w:szCs w:val="20"/>
                <w:vertAlign w:val="superscript"/>
              </w:rPr>
              <w:t>-3</w:t>
            </w:r>
          </w:p>
        </w:tc>
        <w:tc>
          <w:tcPr>
            <w:tcW w:w="373"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10,0</w:t>
            </w:r>
          </w:p>
        </w:tc>
        <w:tc>
          <w:tcPr>
            <w:tcW w:w="615"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3/2,5</w:t>
            </w:r>
          </w:p>
        </w:tc>
        <w:tc>
          <w:tcPr>
            <w:tcW w:w="615"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2,25</w:t>
            </w:r>
          </w:p>
        </w:tc>
        <w:tc>
          <w:tcPr>
            <w:tcW w:w="290"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w:t>
            </w:r>
          </w:p>
        </w:tc>
        <w:tc>
          <w:tcPr>
            <w:tcW w:w="278" w:type="pct"/>
            <w:tcBorders>
              <w:top w:val="single" w:sz="4" w:space="0" w:color="auto"/>
              <w:left w:val="single" w:sz="4" w:space="0" w:color="auto"/>
              <w:bottom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42058C" w:rsidRPr="0042058C" w:rsidRDefault="0042058C" w:rsidP="0042058C">
            <w:pPr>
              <w:widowControl w:val="0"/>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4,0</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Вероятность сильного ветра с осадками и градом из всех природных явлений наиболее высока, а последствия, особенно в случае выпадения града, могут быть экономически значимыми. Также в результате постоянного выпадения осадков могут произойти незначительные подтопления территории, которое распространится на 1025 м. В летний период возрастает вероятность лесные пожары, на площади до 10 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целом, муниципальный округ располагается в достаточно спокойной (относительно природных катастроф) зоне и находится в пределах приемлемого значения, которое не выходит за уровень фоновых показателей по России. Наиболее опасными природными факторами, влияющими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жизнедеятельность муниципального округа, являются гроза, сильный ветер, морозы, град и лесные пожары.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2</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Перечень источников чрезвычайных ситуаций техногенного характера.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подразделе в качестве источников техногенных ЧС целесообразно рассматривать возможные аварии на следующих потенциально опасных объектах и объектах транспорта: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химически опасные объекты – аварии с угрозой выброса аварийно-химически опасных веществ (АХОВ);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пожаровзрывоопасные объекты – пожары и взрывы;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радиационно-опасные объекты – аварии с угрозой выброса радиоактивных веществ;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гидродинамически опасные объекты – аварии, связанные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опасные происшествия на транспорте при перевозке опасных грузов, </w:t>
      </w:r>
      <w:r w:rsidR="00981D14">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том числе: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автомобильном транспорте при перевозке опасных грузов;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железнодорожном транспорте при перевозке опасных грузов;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водном (речном и морском) транспорте при перевозке опасных грузов;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трубопроводном транспорте при транспортировке опасных веществ.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Поражающие факторы источников техногенных ЧС классифицируют по генезису (происхождению) и механизму воздействия.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 разработке подраздела по источникам природных ЧС территории муниципального округа использовались положения прописанные в ГОСТ Р22.0.07-95 «Источники техногенных чрезвычайных ситуаций. Классификация и номенклатура поражающих факторов и их параметров».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Таблица </w:t>
      </w:r>
      <w:r w:rsidR="00E3531F">
        <w:rPr>
          <w:rFonts w:ascii="Times New Roman" w:eastAsia="Times New Roman" w:hAnsi="Times New Roman" w:cs="Times New Roman"/>
          <w:noProof/>
          <w:sz w:val="28"/>
          <w:szCs w:val="28"/>
          <w:lang w:eastAsia="ru-RU"/>
        </w:rPr>
        <w:t>11</w:t>
      </w:r>
      <w:r w:rsidR="00E86957">
        <w:rPr>
          <w:rFonts w:ascii="Times New Roman" w:eastAsia="Times New Roman" w:hAnsi="Times New Roman" w:cs="Times New Roman"/>
          <w:noProof/>
          <w:sz w:val="28"/>
          <w:szCs w:val="28"/>
          <w:lang w:eastAsia="ru-RU"/>
        </w:rPr>
        <w:t>3</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Характеристика взрывоопасных объектов Труновского </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муниципального округа</w:t>
      </w:r>
      <w:r w:rsidRPr="0042058C">
        <w:rPr>
          <w:rFonts w:ascii="Times New Roman" w:eastAsia="Times New Roman" w:hAnsi="Times New Roman" w:cs="Times New Roman"/>
          <w:noProof/>
          <w:sz w:val="28"/>
          <w:szCs w:val="28"/>
          <w:vertAlign w:val="superscript"/>
          <w:lang w:eastAsia="ru-RU"/>
        </w:rPr>
        <w:footnoteReference w:id="102"/>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29"/>
        <w:gridCol w:w="2647"/>
        <w:gridCol w:w="2505"/>
        <w:gridCol w:w="1717"/>
        <w:gridCol w:w="2070"/>
      </w:tblGrid>
      <w:tr w:rsidR="0042058C" w:rsidRPr="0042058C" w:rsidTr="0042058C">
        <w:tc>
          <w:tcPr>
            <w:tcW w:w="2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398"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Полное наименование организации</w:t>
            </w:r>
          </w:p>
        </w:tc>
        <w:tc>
          <w:tcPr>
            <w:tcW w:w="132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Место нахождения организации</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Вид опасного вещества</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Количество опасного вещества, т</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АЗС №144 ООО «Лукойлл-Югнефтепродукт»</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48 км а/д Ставрополь-Батайск</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АЗК №52 ОАО НК «Роснефть-Ставрополье»</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72</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АЗС №10 ООО «Башнефтьсервис»</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48 км а/д Ставрополь-Батайск</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78,8</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АЗС ООО «ПСП»</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ГУП СК «Труновское МДРСУ»</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ул. Индустриальная, 2а</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СПК к-з им. Ворошилова</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292</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СПК к-з «Терновский»</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 Труновское, ул. Южная </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700</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ЗАО «с-з им. Кирова»</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Кирова, ул. Комарова,1</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w:t>
            </w:r>
          </w:p>
        </w:tc>
        <w:tc>
          <w:tcPr>
            <w:tcW w:w="1398" w:type="pct"/>
            <w:shd w:val="clear" w:color="auto" w:fill="auto"/>
            <w:vAlign w:val="center"/>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ООО «Подлесное»</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394</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sz w:val="20"/>
                <w:szCs w:val="20"/>
              </w:rPr>
              <w:t>Склад ГСМ СПК к-з «Родина»</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СПК к-з «им. Горького»</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 ул. Трунова</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288</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СПК «Мелиоратор»</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ул. Объездная, 1</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ОАО «Труновского»</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ул. Промышленная, 9</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370</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ЗАО «Донское»</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Склад ГСМ ЗАО «Правоегорлыкское»</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Нефтебаза ОАО «Новокугультинское»</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 ул. Гагарина, 10</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Миниэлеватор СПК к-за «Терновский» отделение №2</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 отделение 2</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r>
      <w:tr w:rsidR="0042058C" w:rsidRPr="0042058C" w:rsidTr="0042058C">
        <w:tc>
          <w:tcPr>
            <w:tcW w:w="27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w:t>
            </w:r>
          </w:p>
        </w:tc>
        <w:tc>
          <w:tcPr>
            <w:tcW w:w="1398" w:type="pct"/>
            <w:shd w:val="clear" w:color="auto" w:fill="auto"/>
            <w:vAlign w:val="center"/>
          </w:tcPr>
          <w:p w:rsidR="0042058C" w:rsidRPr="0042058C" w:rsidRDefault="0042058C" w:rsidP="0042058C">
            <w:pPr>
              <w:tabs>
                <w:tab w:val="left" w:pos="0"/>
              </w:tabs>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Миниэлеватор СХП ТОО «Мелиоратор» отделение №2</w:t>
            </w:r>
          </w:p>
        </w:tc>
        <w:tc>
          <w:tcPr>
            <w:tcW w:w="1323"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отделение 2</w:t>
            </w:r>
          </w:p>
        </w:tc>
        <w:tc>
          <w:tcPr>
            <w:tcW w:w="907"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ГСМ</w:t>
            </w:r>
          </w:p>
        </w:tc>
        <w:tc>
          <w:tcPr>
            <w:tcW w:w="1093"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На территории Труновского муниципального округа нет радиационно </w:t>
      </w:r>
      <w:r w:rsidR="00981D1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химически опасных объектов. Чрезвычайных ситуаций, связанных </w:t>
      </w:r>
      <w:r w:rsidR="00981D1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с обрушением зданий, сооружений, пород не прогнозируются. Наибольшую опасность для безопасности населения представляют пожароопасные </w:t>
      </w:r>
      <w:r w:rsidR="00981D1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 xml:space="preserve">и взрывоопасные объекты. К этим объектам, в основном, относятся предприятия, использующие в производстве и имеющие на хранении горюче-смазочные материалы, битум и их составляющие, газ пропан, а также базы </w:t>
      </w:r>
      <w:r w:rsidR="00981D14">
        <w:rPr>
          <w:rFonts w:ascii="Times New Roman" w:eastAsia="Calibri" w:hAnsi="Times New Roman" w:cs="Times New Roman"/>
          <w:sz w:val="28"/>
          <w:szCs w:val="28"/>
        </w:rPr>
        <w:t xml:space="preserve">             </w:t>
      </w:r>
      <w:r w:rsidRPr="0042058C">
        <w:rPr>
          <w:rFonts w:ascii="Times New Roman" w:eastAsia="Calibri" w:hAnsi="Times New Roman" w:cs="Times New Roman"/>
          <w:sz w:val="28"/>
          <w:szCs w:val="28"/>
        </w:rPr>
        <w:t>и склады ГСМ сельскохозяйственных организаций.</w:t>
      </w:r>
    </w:p>
    <w:p w:rsidR="0042058C" w:rsidRPr="0042058C" w:rsidRDefault="0042058C" w:rsidP="0042058C">
      <w:pPr>
        <w:tabs>
          <w:tab w:val="left" w:pos="2505"/>
        </w:tabs>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ab/>
      </w:r>
    </w:p>
    <w:p w:rsidR="0042058C" w:rsidRPr="00981D14" w:rsidRDefault="0042058C" w:rsidP="0042058C">
      <w:pPr>
        <w:keepNext/>
        <w:spacing w:after="0" w:line="240" w:lineRule="auto"/>
        <w:jc w:val="right"/>
        <w:rPr>
          <w:rFonts w:ascii="Times New Roman" w:eastAsia="Calibri" w:hAnsi="Times New Roman" w:cs="Times New Roman"/>
          <w:bCs/>
          <w:sz w:val="28"/>
          <w:szCs w:val="28"/>
        </w:rPr>
      </w:pPr>
      <w:r w:rsidRPr="00981D14">
        <w:rPr>
          <w:rFonts w:ascii="Times New Roman" w:eastAsia="Calibri" w:hAnsi="Times New Roman" w:cs="Times New Roman"/>
          <w:bCs/>
          <w:sz w:val="28"/>
          <w:szCs w:val="28"/>
        </w:rPr>
        <w:t xml:space="preserve">Таблица </w:t>
      </w:r>
      <w:r w:rsidR="00E3531F">
        <w:rPr>
          <w:rFonts w:ascii="Times New Roman" w:eastAsia="Calibri" w:hAnsi="Times New Roman" w:cs="Times New Roman"/>
          <w:bCs/>
          <w:sz w:val="28"/>
          <w:szCs w:val="28"/>
        </w:rPr>
        <w:t>11</w:t>
      </w:r>
      <w:r w:rsidR="00E86957">
        <w:rPr>
          <w:rFonts w:ascii="Times New Roman" w:eastAsia="Calibri" w:hAnsi="Times New Roman" w:cs="Times New Roman"/>
          <w:bCs/>
          <w:sz w:val="28"/>
          <w:szCs w:val="28"/>
        </w:rPr>
        <w:t>4</w:t>
      </w:r>
    </w:p>
    <w:p w:rsidR="0042058C" w:rsidRPr="00981D14" w:rsidRDefault="0042058C" w:rsidP="0042058C">
      <w:pPr>
        <w:keepNext/>
        <w:spacing w:after="0" w:line="240" w:lineRule="auto"/>
        <w:jc w:val="center"/>
        <w:rPr>
          <w:rFonts w:ascii="Times New Roman" w:eastAsia="Calibri" w:hAnsi="Times New Roman" w:cs="Times New Roman"/>
          <w:bCs/>
          <w:sz w:val="28"/>
          <w:szCs w:val="28"/>
        </w:rPr>
      </w:pPr>
      <w:r w:rsidRPr="00981D14">
        <w:rPr>
          <w:rFonts w:ascii="Times New Roman" w:eastAsia="Calibri" w:hAnsi="Times New Roman" w:cs="Times New Roman"/>
          <w:bCs/>
          <w:sz w:val="28"/>
          <w:szCs w:val="28"/>
        </w:rPr>
        <w:t>Показатели риска техногенных чрезвычайных ситуаций (при наиболее опасном сценарии развития чрезвычайных ситуаций/при наиболее вероятном сценарии развития чрезвычайных ситуаций) на территории Труновского муниципального округа</w:t>
      </w:r>
      <w:r w:rsidRPr="00981D14">
        <w:rPr>
          <w:rFonts w:ascii="Times New Roman" w:eastAsia="Calibri" w:hAnsi="Times New Roman" w:cs="Times New Roman"/>
          <w:bCs/>
          <w:sz w:val="28"/>
          <w:szCs w:val="28"/>
          <w:vertAlign w:val="superscript"/>
        </w:rPr>
        <w:footnoteReference w:id="103"/>
      </w:r>
    </w:p>
    <w:p w:rsidR="0042058C" w:rsidRPr="0042058C" w:rsidRDefault="0042058C" w:rsidP="0042058C">
      <w:pPr>
        <w:keepNext/>
        <w:spacing w:after="0" w:line="240" w:lineRule="auto"/>
        <w:jc w:val="center"/>
        <w:rPr>
          <w:rFonts w:ascii="Times New Roman" w:eastAsia="Calibri" w:hAnsi="Times New Roman" w:cs="Times New Roman"/>
          <w:bCs/>
          <w:color w:val="262626"/>
          <w:sz w:val="28"/>
          <w:szCs w:val="28"/>
        </w:rPr>
      </w:pPr>
    </w:p>
    <w:tbl>
      <w:tblPr>
        <w:tblW w:w="4986" w:type="pct"/>
        <w:tblLayout w:type="fixed"/>
        <w:tblCellMar>
          <w:left w:w="28" w:type="dxa"/>
          <w:right w:w="28" w:type="dxa"/>
        </w:tblCellMar>
        <w:tblLook w:val="0000" w:firstRow="0" w:lastRow="0" w:firstColumn="0" w:lastColumn="0" w:noHBand="0" w:noVBand="0"/>
      </w:tblPr>
      <w:tblGrid>
        <w:gridCol w:w="1657"/>
        <w:gridCol w:w="1531"/>
        <w:gridCol w:w="762"/>
        <w:gridCol w:w="922"/>
        <w:gridCol w:w="1045"/>
        <w:gridCol w:w="839"/>
        <w:gridCol w:w="815"/>
        <w:gridCol w:w="963"/>
        <w:gridCol w:w="850"/>
      </w:tblGrid>
      <w:tr w:rsidR="0042058C" w:rsidRPr="00F21676" w:rsidTr="0042058C">
        <w:trPr>
          <w:trHeight w:val="499"/>
          <w:tblHeader/>
        </w:trPr>
        <w:tc>
          <w:tcPr>
            <w:tcW w:w="883"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Вид</w:t>
            </w:r>
          </w:p>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возможных</w:t>
            </w:r>
          </w:p>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техногенных ЧС</w:t>
            </w:r>
          </w:p>
        </w:tc>
        <w:tc>
          <w:tcPr>
            <w:tcW w:w="816"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Положение и наименование объекта</w:t>
            </w:r>
          </w:p>
        </w:tc>
        <w:tc>
          <w:tcPr>
            <w:tcW w:w="406"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Вид опасного вещества</w:t>
            </w:r>
          </w:p>
        </w:tc>
        <w:tc>
          <w:tcPr>
            <w:tcW w:w="491"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vertAlign w:val="superscript"/>
              </w:rPr>
            </w:pPr>
            <w:r w:rsidRPr="00F21676">
              <w:rPr>
                <w:rFonts w:ascii="Times New Roman" w:eastAsia="Calibri" w:hAnsi="Times New Roman" w:cs="Times New Roman"/>
                <w:sz w:val="20"/>
                <w:szCs w:val="20"/>
              </w:rPr>
              <w:t>Возможная частота реализации ЧС, – 1 год</w:t>
            </w:r>
          </w:p>
        </w:tc>
        <w:tc>
          <w:tcPr>
            <w:tcW w:w="557"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vertAlign w:val="superscript"/>
              </w:rPr>
            </w:pPr>
            <w:r w:rsidRPr="00F21676">
              <w:rPr>
                <w:rFonts w:ascii="Times New Roman" w:eastAsia="Calibri" w:hAnsi="Times New Roman" w:cs="Times New Roman"/>
                <w:sz w:val="20"/>
                <w:szCs w:val="20"/>
              </w:rPr>
              <w:t>Показатель приемлемого риска, – 1 год</w:t>
            </w:r>
          </w:p>
        </w:tc>
        <w:tc>
          <w:tcPr>
            <w:tcW w:w="447" w:type="pct"/>
            <w:vMerge w:val="restar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Размеры зон вероятной ЧС, км</w:t>
            </w:r>
            <w:r w:rsidRPr="00F21676">
              <w:rPr>
                <w:rFonts w:ascii="Times New Roman" w:eastAsia="Calibri" w:hAnsi="Times New Roman" w:cs="Times New Roman"/>
                <w:sz w:val="20"/>
                <w:szCs w:val="20"/>
                <w:vertAlign w:val="superscript"/>
              </w:rPr>
              <w:t>2</w:t>
            </w:r>
          </w:p>
        </w:tc>
        <w:tc>
          <w:tcPr>
            <w:tcW w:w="14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Возможные социально-экономические последствия</w:t>
            </w:r>
          </w:p>
        </w:tc>
      </w:tr>
      <w:tr w:rsidR="0042058C" w:rsidRPr="00F21676" w:rsidTr="0042058C">
        <w:trPr>
          <w:trHeight w:val="889"/>
          <w:tblHeader/>
        </w:trPr>
        <w:tc>
          <w:tcPr>
            <w:tcW w:w="883"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816"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06"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57"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47" w:type="pct"/>
            <w:vMerge/>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число погибших, чел.</w:t>
            </w: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число пострадавших, чел.</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ущерб, млн руб.</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1. ЧС на химически опасных объектах</w:t>
            </w: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2. ЧС на радиационно опасных объектах</w:t>
            </w: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p w:rsidR="0042058C" w:rsidRPr="00F21676" w:rsidRDefault="0042058C" w:rsidP="0042058C">
            <w:pPr>
              <w:spacing w:after="0" w:line="240" w:lineRule="auto"/>
              <w:rPr>
                <w:rFonts w:ascii="Times New Roman" w:eastAsia="Calibri" w:hAnsi="Times New Roman" w:cs="Times New Roman"/>
                <w:sz w:val="20"/>
                <w:szCs w:val="20"/>
              </w:rPr>
            </w:pP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3. ЧС на биологически опасных объектах</w:t>
            </w: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p w:rsidR="0042058C" w:rsidRPr="00F21676" w:rsidRDefault="0042058C" w:rsidP="0042058C">
            <w:pPr>
              <w:spacing w:after="0" w:line="240" w:lineRule="auto"/>
              <w:rPr>
                <w:rFonts w:ascii="Times New Roman" w:eastAsia="Calibri" w:hAnsi="Times New Roman" w:cs="Times New Roman"/>
                <w:sz w:val="20"/>
                <w:szCs w:val="20"/>
              </w:rPr>
            </w:pP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rHeight w:val="759"/>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4. ЧС на пожаро и взрывоопасных объектах</w:t>
            </w: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АЗС №144 ООО «Лукойлл-Югнефтепродукт»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rHeight w:val="605"/>
          <w:tblHeader/>
        </w:trPr>
        <w:tc>
          <w:tcPr>
            <w:tcW w:w="883" w:type="pct"/>
            <w:tcBorders>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АЗК №52 ОАО НК «Роснефть-Ставрополье»</w:t>
            </w:r>
          </w:p>
        </w:tc>
        <w:tc>
          <w:tcPr>
            <w:tcW w:w="406" w:type="pct"/>
            <w:tcBorders>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rHeight w:val="605"/>
          <w:tblHeader/>
        </w:trPr>
        <w:tc>
          <w:tcPr>
            <w:tcW w:w="883" w:type="pct"/>
            <w:tcBorders>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АЗС №10 ООО «Башнефтьсервис»</w:t>
            </w:r>
          </w:p>
        </w:tc>
        <w:tc>
          <w:tcPr>
            <w:tcW w:w="406" w:type="pct"/>
            <w:tcBorders>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rHeight w:val="138"/>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АЗС ООО «ПСП»</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ГУП СК «Труновское МДРСУ»</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СПК к-з им. Ворошилова</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jc w:val="both"/>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СПК к-з «Терновский»</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ЗАО «с-з им. Кирова»</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ООО «Подлесное»</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СПК к-з «Родина»</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СПК к-з «им Горького»</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СПК «Мелиоратор»</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ОАО «Труновского»</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ЗАО «Донское»</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vertAlign w:val="superscript"/>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Склад ГСМ ЗАО «Правоегорлыкское»</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Нефтебаза ОАО «Новокугультинское»</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ГСМ</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rHeight w:val="639"/>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Миниэлеватор СПК к-за «Терновский» отделение №2</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Взвесь пыли</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rHeight w:val="356"/>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p>
        </w:tc>
        <w:tc>
          <w:tcPr>
            <w:tcW w:w="816"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tabs>
                <w:tab w:val="left" w:pos="0"/>
              </w:tabs>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Миниэлеватор СХП ТОО «Мелиоратор» отделение №2</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Взвесь пыли</w:t>
            </w: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5*10</w:t>
            </w:r>
            <w:r w:rsidRPr="00F21676">
              <w:rPr>
                <w:rFonts w:ascii="Times New Roman" w:eastAsia="Calibri" w:hAnsi="Times New Roman" w:cs="Times New Roman"/>
                <w:sz w:val="20"/>
                <w:szCs w:val="20"/>
                <w:vertAlign w:val="superscript"/>
              </w:rPr>
              <w:t>-2</w:t>
            </w: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3,5*10</w:t>
            </w:r>
            <w:r w:rsidRPr="00F21676">
              <w:rPr>
                <w:rFonts w:ascii="Times New Roman" w:eastAsia="Calibri" w:hAnsi="Times New Roman" w:cs="Times New Roman"/>
                <w:sz w:val="20"/>
                <w:szCs w:val="20"/>
                <w:vertAlign w:val="superscript"/>
              </w:rPr>
              <w:t>-4</w:t>
            </w: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3*10</w:t>
            </w:r>
            <w:r w:rsidRPr="00F21676">
              <w:rPr>
                <w:rFonts w:ascii="Times New Roman" w:eastAsia="Calibri" w:hAnsi="Times New Roman" w:cs="Times New Roman"/>
                <w:sz w:val="20"/>
                <w:szCs w:val="20"/>
                <w:vertAlign w:val="superscript"/>
              </w:rPr>
              <w:t>-4</w:t>
            </w: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w:t>
            </w:r>
          </w:p>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2</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1,5</w:t>
            </w: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5. ЧС на электроэнергетических системах и системах связи</w:t>
            </w:r>
          </w:p>
        </w:tc>
        <w:tc>
          <w:tcPr>
            <w:tcW w:w="81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6. ЧС на коммунальных системах жизнеобеспечения</w:t>
            </w:r>
          </w:p>
        </w:tc>
        <w:tc>
          <w:tcPr>
            <w:tcW w:w="81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7. ЧС на гидротехнических сооружениях</w:t>
            </w:r>
          </w:p>
        </w:tc>
        <w:tc>
          <w:tcPr>
            <w:tcW w:w="81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vertAlign w:val="superscript"/>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r w:rsidR="0042058C" w:rsidRPr="00F21676" w:rsidTr="0042058C">
        <w:trPr>
          <w:tblHeader/>
        </w:trPr>
        <w:tc>
          <w:tcPr>
            <w:tcW w:w="883" w:type="pct"/>
            <w:tcBorders>
              <w:top w:val="single" w:sz="4" w:space="0" w:color="000000"/>
              <w:left w:val="single" w:sz="4" w:space="0" w:color="000000"/>
              <w:bottom w:val="single" w:sz="4" w:space="0" w:color="000000"/>
            </w:tcBorders>
            <w:shd w:val="clear" w:color="auto" w:fill="auto"/>
          </w:tcPr>
          <w:p w:rsidR="0042058C" w:rsidRPr="00F21676" w:rsidRDefault="0042058C" w:rsidP="0042058C">
            <w:pPr>
              <w:snapToGrid w:val="0"/>
              <w:spacing w:after="0" w:line="240" w:lineRule="auto"/>
              <w:rPr>
                <w:rFonts w:ascii="Times New Roman" w:eastAsia="Calibri" w:hAnsi="Times New Roman" w:cs="Times New Roman"/>
                <w:sz w:val="20"/>
                <w:szCs w:val="20"/>
              </w:rPr>
            </w:pPr>
            <w:r w:rsidRPr="00F21676">
              <w:rPr>
                <w:rFonts w:ascii="Times New Roman" w:eastAsia="Calibri" w:hAnsi="Times New Roman" w:cs="Times New Roman"/>
                <w:sz w:val="20"/>
                <w:szCs w:val="20"/>
              </w:rPr>
              <w:t>8. ЧС на транспорте</w:t>
            </w:r>
          </w:p>
        </w:tc>
        <w:tc>
          <w:tcPr>
            <w:tcW w:w="81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r w:rsidRPr="00F21676">
              <w:rPr>
                <w:rFonts w:ascii="Times New Roman" w:eastAsia="Calibri" w:hAnsi="Times New Roman" w:cs="Times New Roman"/>
                <w:sz w:val="20"/>
                <w:szCs w:val="20"/>
              </w:rPr>
              <w:t>нет</w:t>
            </w:r>
          </w:p>
        </w:tc>
        <w:tc>
          <w:tcPr>
            <w:tcW w:w="406"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491"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55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pacing w:after="0" w:line="240" w:lineRule="auto"/>
              <w:jc w:val="center"/>
              <w:rPr>
                <w:rFonts w:ascii="Times New Roman" w:eastAsia="Calibri" w:hAnsi="Times New Roman" w:cs="Times New Roman"/>
                <w:sz w:val="20"/>
                <w:szCs w:val="20"/>
              </w:rPr>
            </w:pPr>
          </w:p>
        </w:tc>
        <w:tc>
          <w:tcPr>
            <w:tcW w:w="447"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34"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513" w:type="pct"/>
            <w:tcBorders>
              <w:top w:val="single" w:sz="4" w:space="0" w:color="000000"/>
              <w:left w:val="single" w:sz="4" w:space="0" w:color="000000"/>
              <w:bottom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058C" w:rsidRPr="00F21676" w:rsidRDefault="0042058C" w:rsidP="0042058C">
            <w:pPr>
              <w:snapToGrid w:val="0"/>
              <w:spacing w:after="0" w:line="240" w:lineRule="auto"/>
              <w:jc w:val="center"/>
              <w:rPr>
                <w:rFonts w:ascii="Times New Roman" w:eastAsia="Calibri" w:hAnsi="Times New Roman" w:cs="Times New Roman"/>
                <w:sz w:val="20"/>
                <w:szCs w:val="20"/>
              </w:rPr>
            </w:pPr>
          </w:p>
        </w:tc>
      </w:tr>
    </w:tbl>
    <w:p w:rsidR="0042058C" w:rsidRPr="0042058C" w:rsidRDefault="0042058C" w:rsidP="0042058C">
      <w:pPr>
        <w:keepNext/>
        <w:spacing w:after="0" w:line="240" w:lineRule="auto"/>
        <w:jc w:val="center"/>
        <w:rPr>
          <w:rFonts w:ascii="Times New Roman" w:eastAsia="Calibri" w:hAnsi="Times New Roman" w:cs="Times New Roman"/>
          <w:bCs/>
          <w:color w:val="262626"/>
          <w:sz w:val="28"/>
          <w:szCs w:val="28"/>
        </w:rPr>
      </w:pP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42058C" w:rsidRPr="0042058C" w:rsidRDefault="0042058C" w:rsidP="0042058C">
      <w:pPr>
        <w:spacing w:after="0"/>
        <w:ind w:firstLine="709"/>
        <w:jc w:val="both"/>
        <w:rPr>
          <w:rFonts w:ascii="Times New Roman" w:eastAsia="Calibri" w:hAnsi="Times New Roman" w:cs="Times New Roman"/>
          <w:sz w:val="28"/>
          <w:szCs w:val="28"/>
        </w:rPr>
      </w:pPr>
      <w:r w:rsidRPr="0042058C">
        <w:rPr>
          <w:rFonts w:ascii="Times New Roman" w:eastAsia="Calibri" w:hAnsi="Times New Roman" w:cs="Times New Roman"/>
          <w:sz w:val="28"/>
          <w:szCs w:val="28"/>
        </w:rPr>
        <w:t xml:space="preserve">ЧС на АЗС и складах ГСМ имеют значение локальной (объектовой), </w:t>
      </w:r>
      <w:r w:rsidR="00F21676">
        <w:rPr>
          <w:rFonts w:ascii="Times New Roman" w:eastAsia="Calibri" w:hAnsi="Times New Roman" w:cs="Times New Roman"/>
          <w:sz w:val="28"/>
          <w:szCs w:val="28"/>
        </w:rPr>
        <w:t xml:space="preserve">           так</w:t>
      </w:r>
      <w:r w:rsidRPr="0042058C">
        <w:rPr>
          <w:rFonts w:ascii="Times New Roman" w:eastAsia="Calibri" w:hAnsi="Times New Roman" w:cs="Times New Roman"/>
          <w:sz w:val="28"/>
          <w:szCs w:val="28"/>
        </w:rPr>
        <w:t xml:space="preserve"> к</w:t>
      </w:r>
      <w:r w:rsidR="00F21676">
        <w:rPr>
          <w:rFonts w:ascii="Times New Roman" w:eastAsia="Calibri" w:hAnsi="Times New Roman" w:cs="Times New Roman"/>
          <w:sz w:val="28"/>
          <w:szCs w:val="28"/>
        </w:rPr>
        <w:t>ак</w:t>
      </w:r>
      <w:r w:rsidRPr="0042058C">
        <w:rPr>
          <w:rFonts w:ascii="Times New Roman" w:eastAsia="Calibri" w:hAnsi="Times New Roman" w:cs="Times New Roman"/>
          <w:sz w:val="28"/>
          <w:szCs w:val="28"/>
        </w:rPr>
        <w:t xml:space="preserve"> разлив не выходит за пределы территории объекта и не представляет опасности населения, за исключением работающего персонала и клиентов АЗС.</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Химически опасные объекты. На территории Труновского муниципального округа отсутствуют химически опасные объекты, однако возможна перевозка контейнеров (емкостей) с АХОВ по автомобильным дорогам федерального, краевого и муниципального значения на территории Труновского округа Ставропольского края.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Аварии на электроэнергетических системах. Аварии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энергосистемы и объектов энергетики опасными стихийными бедствиями являются: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сильный гололед (снижается надежность работы энергосистемы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округа гололеда из-за «пляски» и обрыва проводов ЛЭП);</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продолжительные ливневые дожди, продолжительное затопление талыми (снеговыми) водами (приводят к снижению плотности грунта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глубину 0,5 м и более, и разрушениям ЛЭП, разрыву труб теплотрасс из-за размыва земли, нарушению электроснабжения и обеспечения населения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предприятий горячей водой);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лесные пожары (приводят к нарушению в электроснабжении из-за перегорания опор ЛЭП).</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коммунальных системах жизнеобеспечения. 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Объекты, на которых возможно возникновение аварий: канализационные, тепловые сети, КОС, КНС, котельные, линии связи.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Аварии на коммунальных системах жизнеобеспечения возможны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по причине: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износа основного и вспомогательного оборудования коммунальных систем жизнеобеспечения;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ветхости коммунальных сетей;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халатности персонала, обслуживающего коммунальные системы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жизнеобеспечения;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низкого качества ремонтных работ.</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Выход из строя коммунальных систем может привести к сбою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системе теплоснабжения, водоснабжения и канализации, что значительно ухудшает условия жизнедеятельности населения, особенно в зимний период.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Гидродинамические опасные сооружения. Гидротехнические сооружения (гидроузлы, плотины, дамбы, каналы) при разрушении представляют большую опасность, поскольку приводят к подтоплению территории, размыву русел, эрозии, затоплению отдельных участков.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 авариях на гидротехнических сооружениях существует опасность затопления низинных районов в населенных пунктах округа. Непосредственную опасность представляет стремительный и мощный поток воды, вызывающий поражения, затопления и разрушения зданий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сооружений, а также смыв плодородных почв или отложение наносов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обширных территориях.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Разрушение (прорыв) гидротехнических сооружений происходит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результате: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действия сил природы (ураганов, размыва плотин);</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износа и старения оборудования;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конструкторских ошибок;</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некачественного выполнения строительных работ;</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нарушения правил эксплуатации;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 воздействия человека (нанесение ударов).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 неблагоприятной гидрометеорологической обстановке катастрофического затопления могут образоваться и в результате прорыва плотин наиболее крупных водохранилищ.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Чрезвычайные ситуации на транспорте. 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w:t>
      </w:r>
      <w:r w:rsidR="00F21676">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до 20 км и более от места разлива, что определяет возможность уязвимости многих населённых пунктов.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Автомобильный транспорт. Основными причинами возникновения аварий на автомобильных дорогах являются: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нарушение правил дорожного движения;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неровное покрытие с дефектами, отсутствие горизонтальной разметки и ограждений на опасных участках;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недостаточное освещение дорог;</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качество покрытий – низкое сцепление, особенно зимой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др. факторы.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Наиболее уязвимыми участками автомобильных путей сообщения являются: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зимний период дороги муниципального округа подвержены заносам во время сильных снегопадов и метелей;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осенне-зимне-весенний период гололед на проезжей части автомобильных дорог.</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Аварийность автотранспорта с цистернами при перевозках опасных грузов принимается равной 6•10-7 аварий на 1 км пути.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качестве наиболее вероятных аварийных ситуаций на транспортных магистралях, которые могут привести к возникновению поражающих факторов, следует считать:</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разлив сжиженных углеводородных газов (СУГ) в результате разгерметизации автоцистерны;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разлив (утечка) из цистерны легко воспламеняемых жидкостей (ЛВЖ);</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разлив АХОВ с образованием зоны заражения при разгерметизации цистерны.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связанные с разливом 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100 м до 300 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 аварии возможны гибель людей и (или) причинение им тяжких телесных повреждений, а также временная приостановка движения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основных транспортных магистралях округа.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Транспортные аварии с высоким материальным ущербом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травматизмом происходят по автодорогам общего пользования федерального и регионального значения, реже на дорогах межпоселкового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внутри поселкового сообщения. Среди наиболее подверженных риску возникновения ЧС необходимо выделить 3 автодороги регионального значения проходящих по территории Труновского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Безопасное – Подлесное;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Изобильный – Труновское – Кугульта;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Ростов-на-Дону (от М-4«Дон») – Ставрополь (в границах Ставропольского края).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Мероприятия по предотвращению чрезвычайных ситуаций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автотранспорте: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улучшение качества зимнего содержания дорог, особенно на дорогах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уклонами, перед мостами, на участках с пересечением оврагов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на участках пересечения с инженерными коммуникациями (газопроводами, ЛЭП), в период гололеда;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устройство ограждений, разметка, установка дорожных знаков, улучшение освещения на автодорогах;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работа служб ГИБДД на дорогах за соблюдением скорости движения, особенно участках, пересекающих овраги;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укрепление обочин, откосов насыпей, устройство водоотводов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других инженерных мероприятий для предотвращения размывов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предмостных участках;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регулярная проверка состояния постоянных автомобильных мостов через реки и овраги;</w:t>
      </w:r>
    </w:p>
    <w:p w:rsidR="0042058C" w:rsidRPr="0042058C" w:rsidRDefault="00EB7800"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7) </w:t>
      </w:r>
      <w:r w:rsidR="0042058C" w:rsidRPr="0042058C">
        <w:rPr>
          <w:rFonts w:ascii="Times New Roman" w:eastAsia="Times New Roman" w:hAnsi="Times New Roman" w:cs="Times New Roman"/>
          <w:noProof/>
          <w:sz w:val="28"/>
          <w:szCs w:val="28"/>
          <w:lang w:eastAsia="ru-RU"/>
        </w:rPr>
        <w:t>очистка дорог в зимнее время от снежных валов, сужающих проезжую часть и ограничивающих видимость.</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Прогнозные оценки последствий ЧС для токсичных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взрывопожароопасных веществ при их транспортировке автотранспортом приведены в таблицах ниже.</w:t>
      </w:r>
    </w:p>
    <w:p w:rsidR="0042058C" w:rsidRPr="0042058C" w:rsidRDefault="0042058C" w:rsidP="0042058C">
      <w:pPr>
        <w:autoSpaceDE w:val="0"/>
        <w:autoSpaceDN w:val="0"/>
        <w:adjustRightInd w:val="0"/>
        <w:spacing w:after="0"/>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3531F">
        <w:rPr>
          <w:rFonts w:ascii="Times New Roman" w:eastAsia="Times New Roman" w:hAnsi="Times New Roman" w:cs="Times New Roman"/>
          <w:noProof/>
          <w:sz w:val="28"/>
          <w:szCs w:val="28"/>
          <w:lang w:eastAsia="ru-RU"/>
        </w:rPr>
        <w:t>1</w:t>
      </w:r>
      <w:r w:rsidR="00E86957">
        <w:rPr>
          <w:rFonts w:ascii="Times New Roman" w:eastAsia="Times New Roman" w:hAnsi="Times New Roman" w:cs="Times New Roman"/>
          <w:noProof/>
          <w:sz w:val="28"/>
          <w:szCs w:val="28"/>
          <w:lang w:eastAsia="ru-RU"/>
        </w:rPr>
        <w:t>5</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Токсичные вещества при транспортировке автотранспортом</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97"/>
        <w:gridCol w:w="1975"/>
        <w:gridCol w:w="1835"/>
        <w:gridCol w:w="1975"/>
        <w:gridCol w:w="1835"/>
      </w:tblGrid>
      <w:tr w:rsidR="0042058C" w:rsidRPr="0042058C" w:rsidTr="0042058C">
        <w:trPr>
          <w:trHeight w:val="20"/>
          <w:tblHeader/>
        </w:trPr>
        <w:tc>
          <w:tcPr>
            <w:tcW w:w="0" w:type="auto"/>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Вещество</w:t>
            </w:r>
          </w:p>
        </w:tc>
        <w:tc>
          <w:tcPr>
            <w:tcW w:w="0" w:type="auto"/>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Масса, кг</w:t>
            </w:r>
          </w:p>
        </w:tc>
        <w:tc>
          <w:tcPr>
            <w:tcW w:w="0" w:type="auto"/>
            <w:gridSpan w:val="2"/>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Радиусы зон поражения, м</w:t>
            </w:r>
          </w:p>
        </w:tc>
        <w:tc>
          <w:tcPr>
            <w:tcW w:w="0" w:type="auto"/>
            <w:gridSpan w:val="2"/>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Площадь зон поражения, км</w:t>
            </w:r>
            <w:r w:rsidRPr="0042058C">
              <w:rPr>
                <w:rFonts w:ascii="Times New Roman" w:eastAsia="Calibri" w:hAnsi="Times New Roman" w:cs="Times New Roman"/>
                <w:sz w:val="20"/>
                <w:szCs w:val="20"/>
                <w:vertAlign w:val="superscript"/>
              </w:rPr>
              <w:t>2</w:t>
            </w:r>
          </w:p>
        </w:tc>
      </w:tr>
      <w:tr w:rsidR="0042058C" w:rsidRPr="0042058C" w:rsidTr="0042058C">
        <w:trPr>
          <w:trHeight w:val="20"/>
          <w:tblHeader/>
        </w:trPr>
        <w:tc>
          <w:tcPr>
            <w:tcW w:w="0" w:type="auto"/>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0" w:type="auto"/>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0" w:type="auto"/>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фактического заражения</w:t>
            </w:r>
          </w:p>
        </w:tc>
        <w:tc>
          <w:tcPr>
            <w:tcW w:w="0" w:type="auto"/>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возможного заражения</w:t>
            </w:r>
          </w:p>
        </w:tc>
        <w:tc>
          <w:tcPr>
            <w:tcW w:w="0" w:type="auto"/>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фактического заражения</w:t>
            </w:r>
          </w:p>
        </w:tc>
        <w:tc>
          <w:tcPr>
            <w:tcW w:w="0" w:type="auto"/>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возможного заражения</w:t>
            </w:r>
          </w:p>
        </w:tc>
      </w:tr>
      <w:tr w:rsidR="0042058C" w:rsidRPr="0042058C" w:rsidTr="0042058C">
        <w:trPr>
          <w:trHeight w:val="20"/>
        </w:trPr>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Аммиак</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3000</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0,18</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1,17</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0,11</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w:t>
            </w:r>
          </w:p>
        </w:tc>
      </w:tr>
      <w:tr w:rsidR="0042058C" w:rsidRPr="0042058C" w:rsidTr="0042058C">
        <w:trPr>
          <w:trHeight w:val="20"/>
        </w:trPr>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Хлор</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50</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0,12</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0,75</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0,046</w:t>
            </w:r>
          </w:p>
        </w:tc>
        <w:tc>
          <w:tcPr>
            <w:tcW w:w="0" w:type="auto"/>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1,79</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3531F">
        <w:rPr>
          <w:rFonts w:ascii="Times New Roman" w:eastAsia="Times New Roman" w:hAnsi="Times New Roman" w:cs="Times New Roman"/>
          <w:noProof/>
          <w:sz w:val="28"/>
          <w:szCs w:val="28"/>
          <w:lang w:eastAsia="ru-RU"/>
        </w:rPr>
        <w:t>1</w:t>
      </w:r>
      <w:r w:rsidR="00E86957">
        <w:rPr>
          <w:rFonts w:ascii="Times New Roman" w:eastAsia="Times New Roman" w:hAnsi="Times New Roman" w:cs="Times New Roman"/>
          <w:noProof/>
          <w:sz w:val="28"/>
          <w:szCs w:val="28"/>
          <w:lang w:eastAsia="ru-RU"/>
        </w:rPr>
        <w:t>6</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Взрывопожароопасные вещества при транспортировке автотранспортом</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22"/>
        <w:gridCol w:w="1395"/>
        <w:gridCol w:w="1162"/>
        <w:gridCol w:w="968"/>
        <w:gridCol w:w="1201"/>
        <w:gridCol w:w="1483"/>
        <w:gridCol w:w="1038"/>
        <w:gridCol w:w="1199"/>
      </w:tblGrid>
      <w:tr w:rsidR="0042058C" w:rsidRPr="0042058C" w:rsidTr="0042058C">
        <w:trPr>
          <w:trHeight w:val="20"/>
        </w:trPr>
        <w:tc>
          <w:tcPr>
            <w:tcW w:w="540" w:type="pct"/>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Вещество</w:t>
            </w:r>
          </w:p>
        </w:tc>
        <w:tc>
          <w:tcPr>
            <w:tcW w:w="737" w:type="pct"/>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Масса вещества участвующего в пожаре разлития, кг</w:t>
            </w:r>
          </w:p>
        </w:tc>
        <w:tc>
          <w:tcPr>
            <w:tcW w:w="1759" w:type="pct"/>
            <w:gridSpan w:val="3"/>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Пожар разлития</w:t>
            </w:r>
          </w:p>
        </w:tc>
        <w:tc>
          <w:tcPr>
            <w:tcW w:w="783" w:type="pct"/>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Масса вещества участвующего в пожаре по типу «огненный шар», кг</w:t>
            </w:r>
          </w:p>
        </w:tc>
        <w:tc>
          <w:tcPr>
            <w:tcW w:w="1181" w:type="pct"/>
            <w:gridSpan w:val="2"/>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Огненный шар</w:t>
            </w:r>
          </w:p>
        </w:tc>
      </w:tr>
      <w:tr w:rsidR="0042058C" w:rsidRPr="0042058C" w:rsidTr="0042058C">
        <w:trPr>
          <w:trHeight w:val="20"/>
        </w:trPr>
        <w:tc>
          <w:tcPr>
            <w:tcW w:w="540" w:type="pct"/>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737" w:type="pct"/>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614"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Расстояние от центра пожара (радиус пролива), м</w:t>
            </w:r>
          </w:p>
        </w:tc>
        <w:tc>
          <w:tcPr>
            <w:tcW w:w="511"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Площадь разлива, м</w:t>
            </w:r>
            <w:r w:rsidRPr="0042058C">
              <w:rPr>
                <w:rFonts w:ascii="Times New Roman" w:eastAsia="Calibri" w:hAnsi="Times New Roman" w:cs="Times New Roman"/>
                <w:sz w:val="20"/>
                <w:szCs w:val="20"/>
                <w:vertAlign w:val="superscript"/>
              </w:rPr>
              <w:t>2</w:t>
            </w:r>
          </w:p>
        </w:tc>
        <w:tc>
          <w:tcPr>
            <w:tcW w:w="634"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Безопасное расстояние, м</w:t>
            </w:r>
          </w:p>
        </w:tc>
        <w:tc>
          <w:tcPr>
            <w:tcW w:w="783" w:type="pct"/>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548"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Радиус огненного шара, м</w:t>
            </w:r>
          </w:p>
        </w:tc>
        <w:tc>
          <w:tcPr>
            <w:tcW w:w="634"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Безопасное расстояние, м</w:t>
            </w:r>
          </w:p>
        </w:tc>
      </w:tr>
      <w:tr w:rsidR="0042058C" w:rsidRPr="0042058C" w:rsidTr="0042058C">
        <w:trPr>
          <w:trHeight w:val="20"/>
        </w:trPr>
        <w:tc>
          <w:tcPr>
            <w:tcW w:w="540"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Бензин</w:t>
            </w:r>
          </w:p>
        </w:tc>
        <w:tc>
          <w:tcPr>
            <w:tcW w:w="737"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15000</w:t>
            </w:r>
          </w:p>
        </w:tc>
        <w:tc>
          <w:tcPr>
            <w:tcW w:w="614"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11,1</w:t>
            </w:r>
          </w:p>
        </w:tc>
        <w:tc>
          <w:tcPr>
            <w:tcW w:w="511"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388,1</w:t>
            </w:r>
          </w:p>
        </w:tc>
        <w:tc>
          <w:tcPr>
            <w:tcW w:w="634"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29</w:t>
            </w:r>
          </w:p>
        </w:tc>
        <w:tc>
          <w:tcPr>
            <w:tcW w:w="783" w:type="pct"/>
            <w:vMerge w:val="restar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9000</w:t>
            </w:r>
          </w:p>
        </w:tc>
        <w:tc>
          <w:tcPr>
            <w:tcW w:w="548" w:type="pct"/>
            <w:vMerge w:val="restar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52,3</w:t>
            </w:r>
          </w:p>
        </w:tc>
        <w:tc>
          <w:tcPr>
            <w:tcW w:w="634" w:type="pct"/>
            <w:vMerge w:val="restart"/>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275</w:t>
            </w:r>
          </w:p>
        </w:tc>
      </w:tr>
      <w:tr w:rsidR="0042058C" w:rsidRPr="0042058C" w:rsidTr="0042058C">
        <w:trPr>
          <w:trHeight w:val="20"/>
        </w:trPr>
        <w:tc>
          <w:tcPr>
            <w:tcW w:w="540"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Мазут</w:t>
            </w:r>
          </w:p>
        </w:tc>
        <w:tc>
          <w:tcPr>
            <w:tcW w:w="737"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15000</w:t>
            </w:r>
          </w:p>
        </w:tc>
        <w:tc>
          <w:tcPr>
            <w:tcW w:w="614"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9,7</w:t>
            </w:r>
          </w:p>
        </w:tc>
        <w:tc>
          <w:tcPr>
            <w:tcW w:w="511"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295,6</w:t>
            </w:r>
          </w:p>
        </w:tc>
        <w:tc>
          <w:tcPr>
            <w:tcW w:w="634" w:type="pct"/>
            <w:shd w:val="clear" w:color="auto" w:fill="auto"/>
          </w:tcPr>
          <w:p w:rsidR="0042058C" w:rsidRPr="0042058C" w:rsidRDefault="0042058C" w:rsidP="0042058C">
            <w:pPr>
              <w:spacing w:after="0" w:line="240" w:lineRule="auto"/>
              <w:jc w:val="right"/>
              <w:rPr>
                <w:rFonts w:ascii="Times New Roman" w:eastAsia="Calibri" w:hAnsi="Times New Roman" w:cs="Times New Roman"/>
                <w:sz w:val="20"/>
                <w:szCs w:val="20"/>
              </w:rPr>
            </w:pPr>
            <w:r w:rsidRPr="0042058C">
              <w:rPr>
                <w:rFonts w:ascii="Times New Roman" w:eastAsia="Calibri" w:hAnsi="Times New Roman" w:cs="Times New Roman"/>
                <w:sz w:val="20"/>
                <w:szCs w:val="20"/>
              </w:rPr>
              <w:t>26</w:t>
            </w:r>
          </w:p>
        </w:tc>
        <w:tc>
          <w:tcPr>
            <w:tcW w:w="783" w:type="pct"/>
            <w:vMerge/>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548" w:type="pct"/>
            <w:vMerge/>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634" w:type="pct"/>
            <w:vMerge/>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0"/>
          <w:szCs w:val="20"/>
          <w:lang w:eastAsia="ru-RU"/>
        </w:rPr>
      </w:pPr>
    </w:p>
    <w:p w:rsidR="0042058C" w:rsidRPr="0042058C" w:rsidRDefault="0042058C" w:rsidP="0042058C">
      <w:pPr>
        <w:autoSpaceDE w:val="0"/>
        <w:autoSpaceDN w:val="0"/>
        <w:adjustRightInd w:val="0"/>
        <w:spacing w:after="0"/>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3531F">
        <w:rPr>
          <w:rFonts w:ascii="Times New Roman" w:eastAsia="Times New Roman" w:hAnsi="Times New Roman" w:cs="Times New Roman"/>
          <w:noProof/>
          <w:sz w:val="28"/>
          <w:szCs w:val="28"/>
          <w:lang w:eastAsia="ru-RU"/>
        </w:rPr>
        <w:t>1</w:t>
      </w:r>
      <w:r w:rsidR="00E86957">
        <w:rPr>
          <w:rFonts w:ascii="Times New Roman" w:eastAsia="Times New Roman" w:hAnsi="Times New Roman" w:cs="Times New Roman"/>
          <w:noProof/>
          <w:sz w:val="28"/>
          <w:szCs w:val="28"/>
          <w:lang w:eastAsia="ru-RU"/>
        </w:rPr>
        <w:t>7</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Взрыв ТВС при транспортировке автотранспортом</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204"/>
        <w:gridCol w:w="1032"/>
        <w:gridCol w:w="1141"/>
        <w:gridCol w:w="1097"/>
        <w:gridCol w:w="999"/>
        <w:gridCol w:w="689"/>
        <w:gridCol w:w="689"/>
        <w:gridCol w:w="689"/>
        <w:gridCol w:w="798"/>
      </w:tblGrid>
      <w:tr w:rsidR="0042058C" w:rsidRPr="0042058C" w:rsidTr="0042058C">
        <w:trPr>
          <w:trHeight w:val="20"/>
          <w:tblHeader/>
          <w:jc w:val="center"/>
        </w:trPr>
        <w:tc>
          <w:tcPr>
            <w:tcW w:w="644" w:type="pct"/>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Вещество</w:t>
            </w:r>
          </w:p>
        </w:tc>
        <w:tc>
          <w:tcPr>
            <w:tcW w:w="629" w:type="pct"/>
            <w:vMerge w:val="restar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Масса, кг</w:t>
            </w:r>
          </w:p>
        </w:tc>
        <w:tc>
          <w:tcPr>
            <w:tcW w:w="2230" w:type="pct"/>
            <w:gridSpan w:val="4"/>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разрушения зданий, м</w:t>
            </w:r>
          </w:p>
        </w:tc>
        <w:tc>
          <w:tcPr>
            <w:tcW w:w="1497" w:type="pct"/>
            <w:gridSpan w:val="4"/>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поражения людей, м</w:t>
            </w:r>
          </w:p>
        </w:tc>
      </w:tr>
      <w:tr w:rsidR="0042058C" w:rsidRPr="0042058C" w:rsidTr="0042058C">
        <w:trPr>
          <w:trHeight w:val="20"/>
          <w:tblHeader/>
          <w:jc w:val="center"/>
        </w:trPr>
        <w:tc>
          <w:tcPr>
            <w:tcW w:w="644" w:type="pct"/>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629" w:type="pct"/>
            <w:vMerge/>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p>
        </w:tc>
        <w:tc>
          <w:tcPr>
            <w:tcW w:w="539"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Полные</w:t>
            </w:r>
          </w:p>
        </w:tc>
        <w:tc>
          <w:tcPr>
            <w:tcW w:w="596"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Сильные</w:t>
            </w:r>
          </w:p>
        </w:tc>
        <w:tc>
          <w:tcPr>
            <w:tcW w:w="573"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Средние</w:t>
            </w:r>
          </w:p>
        </w:tc>
        <w:tc>
          <w:tcPr>
            <w:tcW w:w="522"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Слабые</w:t>
            </w:r>
          </w:p>
        </w:tc>
        <w:tc>
          <w:tcPr>
            <w:tcW w:w="360"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99%</w:t>
            </w:r>
          </w:p>
        </w:tc>
        <w:tc>
          <w:tcPr>
            <w:tcW w:w="360"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50%</w:t>
            </w:r>
          </w:p>
        </w:tc>
        <w:tc>
          <w:tcPr>
            <w:tcW w:w="360"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w:t>
            </w:r>
          </w:p>
        </w:tc>
        <w:tc>
          <w:tcPr>
            <w:tcW w:w="417" w:type="pct"/>
            <w:shd w:val="clear" w:color="auto" w:fill="auto"/>
            <w:vAlign w:val="center"/>
          </w:tcPr>
          <w:p w:rsidR="0042058C" w:rsidRPr="0042058C" w:rsidRDefault="0042058C" w:rsidP="0042058C">
            <w:pPr>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20"/>
          <w:jc w:val="center"/>
        </w:trPr>
        <w:tc>
          <w:tcPr>
            <w:tcW w:w="644"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Аммиак</w:t>
            </w:r>
          </w:p>
        </w:tc>
        <w:tc>
          <w:tcPr>
            <w:tcW w:w="62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c>
          <w:tcPr>
            <w:tcW w:w="53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18,9</w:t>
            </w:r>
          </w:p>
        </w:tc>
        <w:tc>
          <w:tcPr>
            <w:tcW w:w="596"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23,3</w:t>
            </w:r>
          </w:p>
        </w:tc>
        <w:tc>
          <w:tcPr>
            <w:tcW w:w="573"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33,3</w:t>
            </w:r>
          </w:p>
        </w:tc>
        <w:tc>
          <w:tcPr>
            <w:tcW w:w="522"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65</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3,8</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10,1</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17,2</w:t>
            </w:r>
          </w:p>
        </w:tc>
        <w:tc>
          <w:tcPr>
            <w:tcW w:w="417"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26,6</w:t>
            </w:r>
          </w:p>
        </w:tc>
      </w:tr>
      <w:tr w:rsidR="0042058C" w:rsidRPr="0042058C" w:rsidTr="0042058C">
        <w:trPr>
          <w:trHeight w:val="20"/>
          <w:jc w:val="center"/>
        </w:trPr>
        <w:tc>
          <w:tcPr>
            <w:tcW w:w="644"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Бензин</w:t>
            </w:r>
          </w:p>
        </w:tc>
        <w:tc>
          <w:tcPr>
            <w:tcW w:w="62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c>
          <w:tcPr>
            <w:tcW w:w="53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w:t>
            </w:r>
          </w:p>
        </w:tc>
        <w:tc>
          <w:tcPr>
            <w:tcW w:w="596"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53</w:t>
            </w:r>
          </w:p>
        </w:tc>
        <w:tc>
          <w:tcPr>
            <w:tcW w:w="573"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75,7</w:t>
            </w:r>
          </w:p>
        </w:tc>
        <w:tc>
          <w:tcPr>
            <w:tcW w:w="522"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147,5</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19,8</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51,9</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88,1</w:t>
            </w:r>
          </w:p>
        </w:tc>
        <w:tc>
          <w:tcPr>
            <w:tcW w:w="417"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135,8</w:t>
            </w:r>
          </w:p>
        </w:tc>
      </w:tr>
      <w:tr w:rsidR="0042058C" w:rsidRPr="0042058C" w:rsidTr="0042058C">
        <w:trPr>
          <w:trHeight w:val="20"/>
          <w:jc w:val="center"/>
        </w:trPr>
        <w:tc>
          <w:tcPr>
            <w:tcW w:w="644" w:type="pct"/>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Мазут</w:t>
            </w:r>
          </w:p>
        </w:tc>
        <w:tc>
          <w:tcPr>
            <w:tcW w:w="62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c>
          <w:tcPr>
            <w:tcW w:w="539"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41,9</w:t>
            </w:r>
          </w:p>
        </w:tc>
        <w:tc>
          <w:tcPr>
            <w:tcW w:w="596"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51,6</w:t>
            </w:r>
          </w:p>
        </w:tc>
        <w:tc>
          <w:tcPr>
            <w:tcW w:w="573"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73,6</w:t>
            </w:r>
          </w:p>
        </w:tc>
        <w:tc>
          <w:tcPr>
            <w:tcW w:w="522"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145,5</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18,7</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49,2</w:t>
            </w:r>
          </w:p>
        </w:tc>
        <w:tc>
          <w:tcPr>
            <w:tcW w:w="360"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83,5</w:t>
            </w:r>
          </w:p>
        </w:tc>
        <w:tc>
          <w:tcPr>
            <w:tcW w:w="417" w:type="pct"/>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128,7</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Аварии на трубопроводном транспорте. На территории Труновского муниципального округа проходит участок магистрального нефтепровода КТК «Тенгиз – Новороссийск», остальные объекты являются связывающими звеньями региональной сети.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Аварии на трубопроводе могут быть связаны со следующими причинами: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воздействие опасных внешних факторов, связанных с механическим повреждением нефтепровода вследствие нарушений при сооружении;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воздействие внутренних опасных факторов, связанных с физическим износом, коррозией металла и растрескиванием тела трубы под напряжением;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земляные работы в охранной зоне, проводимые механизированным способом;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брак при строительстве/изготовлении.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Сравнивая причины возникновения аварий и аварийных ситуаций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участках трубопроводного транспорта, можно сделать вывод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о приоритетных направлениях профилактической работы по борьбе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с возникновением причин таких ситуаций.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3</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Перечень возможных источников чрезвычайных ситуаций биолого-социального характера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Перечень факторов риска возникновения чс на территории муниципального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заболевания гриппом, вирусным гепатитом (носящие очаговый характер без признаков эпидемии);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случаи заболевания животных бешенством – переносчиками болезни являются дикие животные;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вспышки массового размножения опасных болезней и вредителей сельскохозяйственных растений.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Риски возникновения чрезвычайных ситуаций, связанных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с инфекционной заболеваемостью людей, сельскохозяйственных животных, ЧС, связанных с лесными и сельскохозяйственными вредителями,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на территории Мичуринского сельского поселения минимальны.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Источниками ЧС биолого-социального характера могут быть биологически опасные объекты (скотомогильники, ямы Беккари и др.),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а также природные очаги инфекционных болезней (заболеваемость людей, заболеваемость сельскохозяйственных животных, заболеваемость сельскохозяйственных растений).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При разработке подраздела по источникам биолого-социального </w:t>
      </w:r>
      <w:r w:rsidR="00EB7800">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ЧС территории муниципального округа использовались положения прописанные в ГОСТ Р 22.0.04-95. «Безопасность в чрезвычайных ситуациях Биолого-социальные чрезвычайные ситуации».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Среди основных заболеваний сельскохозяйственных животных, вызывающих риск возникновения чрезвычайной ситуации биолого-социального характера можно выделить:</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крымская геморрагическая лихорадка;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африканская чума;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геморрагическая лихорадка с почечным синдромом;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весенне-летний клещевой энцефалит;</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бруцеллез;</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клещевой боррелиоз;</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псевдотуберкулез.</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Потенциальным источником чрезвычайных ситуаций биолого-социального характера в поселении могут являться скотомогильники, кладбища, полигоны и склады ТКО. Согласно постановлению от 28.02.2019 года № 59-n «Об утверждении Реестра площадок накопления твердых коммунальных отходов, расположенных на территории Труновского муниципального района Ставропольского края» на территории округа расположено 27 площадок.</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Общая площадь кладбищ на территории Труновского муниципального округа Ставропольского края составляет 108,26 га. Содержание кладбищ осуществляется в соответствии с требованием СанПиН № 2.1.2882-11 «Гигиенические требования к размещению, устройству и содержанию кладбищ, зданий и сооружений похоронного назначения».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Основным методом обезвреживания биологических отходов является их захоронение в скотомогильниках. На территории Труновского муниципального округа 16 объектов обезвреживания и утилизации биологических отходов.</w:t>
      </w:r>
    </w:p>
    <w:p w:rsidR="0042058C" w:rsidRPr="0042058C" w:rsidRDefault="0042058C"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3531F">
        <w:rPr>
          <w:rFonts w:ascii="Times New Roman" w:eastAsia="Times New Roman" w:hAnsi="Times New Roman" w:cs="Times New Roman"/>
          <w:noProof/>
          <w:sz w:val="28"/>
          <w:szCs w:val="28"/>
          <w:lang w:eastAsia="ru-RU"/>
        </w:rPr>
        <w:t>1</w:t>
      </w:r>
      <w:r w:rsidR="00E86957">
        <w:rPr>
          <w:rFonts w:ascii="Times New Roman" w:eastAsia="Times New Roman" w:hAnsi="Times New Roman" w:cs="Times New Roman"/>
          <w:noProof/>
          <w:sz w:val="28"/>
          <w:szCs w:val="28"/>
          <w:lang w:eastAsia="ru-RU"/>
        </w:rPr>
        <w:t>8</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Месторасположения объектов обезвреживания и утилизации биологических отходов на территории Труновского муниципального округа Ставропольского края</w:t>
      </w:r>
      <w:r w:rsidRPr="0042058C">
        <w:rPr>
          <w:rFonts w:ascii="Times New Roman" w:eastAsia="Times New Roman" w:hAnsi="Times New Roman" w:cs="Times New Roman"/>
          <w:noProof/>
          <w:sz w:val="28"/>
          <w:szCs w:val="28"/>
          <w:vertAlign w:val="superscript"/>
          <w:lang w:eastAsia="ru-RU"/>
        </w:rPr>
        <w:footnoteReference w:id="104"/>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21"/>
        <w:gridCol w:w="1651"/>
        <w:gridCol w:w="1600"/>
        <w:gridCol w:w="1286"/>
        <w:gridCol w:w="1810"/>
      </w:tblGrid>
      <w:tr w:rsidR="0042058C" w:rsidRPr="0042058C" w:rsidTr="0042058C">
        <w:tc>
          <w:tcPr>
            <w:tcW w:w="1648"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Территориальное управление</w:t>
            </w:r>
          </w:p>
        </w:tc>
        <w:tc>
          <w:tcPr>
            <w:tcW w:w="872"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Расстояние от населенного пункта</w:t>
            </w:r>
          </w:p>
        </w:tc>
        <w:tc>
          <w:tcPr>
            <w:tcW w:w="1524" w:type="pct"/>
            <w:gridSpan w:val="2"/>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Географические координаты</w:t>
            </w:r>
          </w:p>
        </w:tc>
        <w:tc>
          <w:tcPr>
            <w:tcW w:w="956" w:type="pct"/>
            <w:vMerge w:val="restar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Площадь скотомогильника, м</w:t>
            </w:r>
            <w:r w:rsidRPr="0042058C">
              <w:rPr>
                <w:rFonts w:ascii="Times New Roman" w:eastAsia="Times New Roman" w:hAnsi="Times New Roman" w:cs="Times New Roman"/>
                <w:sz w:val="20"/>
                <w:szCs w:val="20"/>
                <w:vertAlign w:val="superscript"/>
              </w:rPr>
              <w:t>2</w:t>
            </w:r>
          </w:p>
        </w:tc>
      </w:tr>
      <w:tr w:rsidR="0042058C" w:rsidRPr="0042058C" w:rsidTr="0042058C">
        <w:tc>
          <w:tcPr>
            <w:tcW w:w="1648"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tc>
        <w:tc>
          <w:tcPr>
            <w:tcW w:w="872"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tc>
        <w:tc>
          <w:tcPr>
            <w:tcW w:w="845"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широта</w:t>
            </w:r>
          </w:p>
        </w:tc>
        <w:tc>
          <w:tcPr>
            <w:tcW w:w="679"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долгота</w:t>
            </w:r>
          </w:p>
        </w:tc>
        <w:tc>
          <w:tcPr>
            <w:tcW w:w="956" w:type="pct"/>
            <w:vMerge/>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p>
        </w:tc>
      </w:tr>
      <w:tr w:rsidR="0042058C" w:rsidRPr="0042058C" w:rsidTr="0042058C">
        <w:tc>
          <w:tcPr>
            <w:tcW w:w="1648" w:type="pct"/>
            <w:shd w:val="clear" w:color="auto" w:fill="auto"/>
            <w:vAlign w:val="center"/>
          </w:tcPr>
          <w:p w:rsidR="0042058C" w:rsidRPr="0042058C" w:rsidRDefault="0042058C" w:rsidP="0042058C">
            <w:pPr>
              <w:spacing w:after="0" w:line="240" w:lineRule="auto"/>
              <w:jc w:val="both"/>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Территория в границах упраздненного муниципального образования «Кировский сельсосвет» Труновского муниципального округа Ставропольского края</w:t>
            </w:r>
          </w:p>
        </w:tc>
        <w:tc>
          <w:tcPr>
            <w:tcW w:w="872" w:type="pct"/>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1000 м юго-восточнее пос. им Кирова</w:t>
            </w:r>
          </w:p>
        </w:tc>
        <w:tc>
          <w:tcPr>
            <w:tcW w:w="845"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45º30'12,89"</w:t>
            </w:r>
          </w:p>
        </w:tc>
        <w:tc>
          <w:tcPr>
            <w:tcW w:w="679" w:type="pct"/>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42º15'53,15"</w:t>
            </w:r>
          </w:p>
        </w:tc>
        <w:tc>
          <w:tcPr>
            <w:tcW w:w="956" w:type="pct"/>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sz w:val="20"/>
                <w:szCs w:val="20"/>
              </w:rPr>
            </w:pPr>
            <w:r w:rsidRPr="0042058C">
              <w:rPr>
                <w:rFonts w:ascii="Times New Roman" w:eastAsia="Times New Roman" w:hAnsi="Times New Roman" w:cs="Times New Roman"/>
                <w:sz w:val="20"/>
                <w:szCs w:val="20"/>
              </w:rPr>
              <w:t>600</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 целях профилактики возникновения данных ЧС на территории Мичуринского сельского поселения осуществляются следующие превентивные мероприятия, проводимые органами местного самоуправления: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Ежегодная вакцинация населения от инфекционных болезней;</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Ежегодная вакцинация поголовья птицы;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Своевременный вывоз мусора, уборка в подъездах жилых домов;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Работа с населением;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Работа со средствами СМИ.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Создание запаса дезинфектантов и средств индивидуальной защиты.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Мероприятия по смягчению и предотвращению чрезвычайных ситуаций на территории Труновского муниципального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Перечень мероприятий по обеспечению пожарной безопасности.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территории муниципального округа пожарную опасность представляет как горение населенных пунктов, так и горение травяного покрова и лесов.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дыму.</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соответствии с Законом Ставропольского края от 07 июня 2004 г.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41-кз «О пожарной безопасности» обеспечение первичных мер пожарной безопасности в границах населенных пунктов муниципального округа, относятся к вопросам местного значения поселения.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строениями.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соответствии с Правилами пожарной безопасности в лесах, утвержденными постановлением Правительства Российской Федерации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от 30.06.2007 № 417, меры пожарной безопасности в лесах включают в себя: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предупреждение лесных пожаров (противопожарное обустройство лесов и обеспечение средствами предупреждения и тушения лесных пожаров);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мониторинг пожарной опасности в лесах и лесных пожаров;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разработку и утверждение планов тушения лесных пожаров;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устройство противопожарных резервуаров, минерализованных полос;</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организацию противопожарной пропаганды и др.</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Противопожарное водоснабжение населенных пунктов муниципальных округов.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территориях населенных пунктов муниципальных округов должны быть источники наружного противопожарного водоснабжения.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 источникам наружного противопожарного водоснабжения относятся: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наружные водопроводные сети с пожарными гидрантами;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водные объекты, используемые для целей пожаротушения </w:t>
      </w:r>
      <w:r w:rsidR="003C50C5">
        <w:rPr>
          <w:rFonts w:ascii="Times New Roman" w:eastAsia="Times New Roman" w:hAnsi="Times New Roman" w:cs="Times New Roman"/>
          <w:noProof/>
          <w:sz w:val="28"/>
          <w:szCs w:val="28"/>
          <w:lang w:eastAsia="ru-RU"/>
        </w:rPr>
        <w:t xml:space="preserve">                 </w:t>
      </w:r>
      <w:r w:rsidR="00E3531F">
        <w:rPr>
          <w:rFonts w:ascii="Times New Roman" w:eastAsia="Times New Roman" w:hAnsi="Times New Roman" w:cs="Times New Roman"/>
          <w:noProof/>
          <w:sz w:val="28"/>
          <w:szCs w:val="28"/>
          <w:lang w:eastAsia="ru-RU"/>
        </w:rPr>
        <w:t xml:space="preserve">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соответствии с законодательством Российской Федерации;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противопожарные резервуары.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Населенные пункты муниципальных округов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поселениях муниципальных округов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муниципальных округов, не имеющих кольцевого противопожарного водопровода, зданиях и сооружениях класса функциональной пожарной опасности Ф5 с производствами категорий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Г и Д по пожарной и взрывоопасности при расходе воды на наружное пожаротушение 10 литров в секунду, на складах грубых кормов объемом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до 1000 кубических метров, складах минеральных удобрений объемом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Требования пожарной безопасности по размещению подразделений пожарной охраны в поселениях муниципальных округов: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дислокация подразделений пожарной охраны на территориях населенных пунктов муниципальных округов определяется исходя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из условия, что время прибытия первого подразделения к месту вызова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сельских поселениях – 20 минут;</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подразделения пожарной охраны населенных пунктов должны размещаться в зданиях пожарных депо;</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порядок и методика определения мест дислокации подразделений пожарной охраны на территориях населенных пунктов и муниципальных округов устанавливаются нормативными документами по пожарной безопасности.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сигналов оповещения до органов управления, сил Ставропольской краевой территориальной подсистемы единой государственной системы предупреждения и ликвидации чрезвычайных ситуаций и населения Ставропольского края.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86957">
        <w:rPr>
          <w:rFonts w:ascii="Times New Roman" w:eastAsia="Times New Roman" w:hAnsi="Times New Roman" w:cs="Times New Roman"/>
          <w:noProof/>
          <w:sz w:val="28"/>
          <w:szCs w:val="28"/>
          <w:lang w:eastAsia="ru-RU"/>
        </w:rPr>
        <w:t>19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Объекты пожарной охраны, расположенные на территории Труновского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058C" w:rsidRPr="0042058C" w:rsidTr="0042058C">
        <w:tc>
          <w:tcPr>
            <w:tcW w:w="4785" w:type="dxa"/>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подразделения</w:t>
            </w:r>
          </w:p>
        </w:tc>
        <w:tc>
          <w:tcPr>
            <w:tcW w:w="4786" w:type="dxa"/>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Адрес</w:t>
            </w:r>
          </w:p>
        </w:tc>
      </w:tr>
      <w:tr w:rsidR="0042058C" w:rsidRPr="0042058C" w:rsidTr="0042058C">
        <w:tc>
          <w:tcPr>
            <w:tcW w:w="4785" w:type="dxa"/>
            <w:shd w:val="clear" w:color="auto" w:fill="auto"/>
          </w:tcPr>
          <w:p w:rsidR="0042058C" w:rsidRPr="0042058C" w:rsidRDefault="0042058C" w:rsidP="0042058C">
            <w:pPr>
              <w:spacing w:after="0"/>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Пожарная часть № 145</w:t>
            </w:r>
          </w:p>
        </w:tc>
        <w:tc>
          <w:tcPr>
            <w:tcW w:w="4786" w:type="dxa"/>
            <w:shd w:val="clear" w:color="auto" w:fill="auto"/>
          </w:tcPr>
          <w:p w:rsidR="0042058C" w:rsidRPr="0042058C" w:rsidRDefault="0042058C" w:rsidP="0042058C">
            <w:pPr>
              <w:spacing w:after="0"/>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 ул. Ленина, 87</w:t>
            </w:r>
          </w:p>
        </w:tc>
      </w:tr>
      <w:tr w:rsidR="0042058C" w:rsidRPr="0042058C" w:rsidTr="0042058C">
        <w:tc>
          <w:tcPr>
            <w:tcW w:w="4785"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Пожарно-спасательная часть № 51 ФГКУ "5 ОФПС по Ставропольскому краю"</w:t>
            </w:r>
          </w:p>
        </w:tc>
        <w:tc>
          <w:tcPr>
            <w:tcW w:w="4786"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 ул. Промышленная, 2б МЧС</w:t>
            </w:r>
          </w:p>
        </w:tc>
      </w:tr>
      <w:tr w:rsidR="0042058C" w:rsidRPr="0042058C" w:rsidTr="0042058C">
        <w:tc>
          <w:tcPr>
            <w:tcW w:w="4785"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ГКУ Пасс Пожарная Часть № 149</w:t>
            </w:r>
          </w:p>
        </w:tc>
        <w:tc>
          <w:tcPr>
            <w:tcW w:w="4786"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 Безопасное ул. </w:t>
            </w:r>
            <w:hyperlink r:id="rId50" w:tgtFrame="_blank" w:history="1">
              <w:r w:rsidRPr="0042058C">
                <w:rPr>
                  <w:rFonts w:ascii="Times New Roman" w:eastAsia="Calibri" w:hAnsi="Times New Roman" w:cs="Times New Roman"/>
                  <w:sz w:val="20"/>
                  <w:szCs w:val="20"/>
                </w:rPr>
                <w:t>Строительная, 6</w:t>
              </w:r>
            </w:hyperlink>
          </w:p>
        </w:tc>
      </w:tr>
      <w:tr w:rsidR="0042058C" w:rsidRPr="0042058C" w:rsidTr="0042058C">
        <w:tc>
          <w:tcPr>
            <w:tcW w:w="4785"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Всероссийское добровольное пожарное общество</w:t>
            </w:r>
          </w:p>
        </w:tc>
        <w:tc>
          <w:tcPr>
            <w:tcW w:w="4786" w:type="dxa"/>
            <w:shd w:val="clear" w:color="auto" w:fill="auto"/>
            <w:vAlign w:val="center"/>
          </w:tcPr>
          <w:p w:rsidR="0042058C" w:rsidRPr="0042058C" w:rsidRDefault="0042058C" w:rsidP="0042058C">
            <w:pPr>
              <w:spacing w:after="0" w:line="240" w:lineRule="auto"/>
              <w:contextualSpacing/>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 Труновское, </w:t>
            </w:r>
            <w:hyperlink r:id="rId51" w:tgtFrame="_blank" w:history="1">
              <w:r w:rsidRPr="0042058C">
                <w:rPr>
                  <w:rFonts w:ascii="Times New Roman" w:eastAsia="Calibri" w:hAnsi="Times New Roman" w:cs="Times New Roman"/>
                  <w:sz w:val="20"/>
                  <w:szCs w:val="20"/>
                </w:rPr>
                <w:t>ул. Мира, 6</w:t>
              </w:r>
            </w:hyperlink>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настоящее время противопожарную безопасность Труновского муниципального округа осуществляю 3 пожарные части и добровольное пожарное общество. Пожарные части расположены в следующих населенных пунктах: с. Труновское, с. Донское, с. Безопасное. Кроме этого на территории с. Труновского расположено 1 добровольное пожарное общество. Действующие подразделения полностью покрывают потребность округа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в объектах.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Оповещение населения в случае чрезвычайной ситуации. Одним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Система оповещения населенных пунктов округа входит в общую систему оповещения Труновского муниципального округа. Оповещение населения осуществляется: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через радиотрансляционную сеть;</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мобильные уведомления и интернет ресурсы;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 помощью машин службы ООП, оборудованных звукоусилительными установками;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электросиренами и громкоговорителями.</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В целом, Труновский муниципальный округ располагается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достаточно спокойной (относительно природных катастроф) зоне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находится в пределах приемлемого значения, которое не выходит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за уровень фоновых показателей по России. Тем не менее, существует вероятность возникновения ЧС в связи с неблагоприятными погодными условиями. Наиболее опасными явлениями природного характера, являются град, сильный дождь с грозой и заморозки, а также гололед и туман.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территории округа отсутствуют химически опасные предприятия, риск возникновения техногенных чрезвычайных ситуаций связан с авариями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на автомобильном транспорте и на системах жизнеобеспечения населения. Существует вероятность проявления сейсмической активности, что ведёт </w:t>
      </w:r>
      <w:r w:rsidR="003C50C5">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к необходимости принятия градостроительных, архитектурно-планировочных, конструктивных решений с учётом сейсмической опасности. 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b/>
          <w:noProof/>
          <w:sz w:val="28"/>
          <w:szCs w:val="28"/>
          <w:lang w:eastAsia="ru-RU"/>
        </w:rPr>
      </w:pPr>
      <w:r w:rsidRPr="0042058C">
        <w:rPr>
          <w:rFonts w:ascii="Times New Roman" w:eastAsia="Times New Roman" w:hAnsi="Times New Roman" w:cs="Times New Roman"/>
          <w:b/>
          <w:noProof/>
          <w:sz w:val="28"/>
          <w:szCs w:val="28"/>
          <w:lang w:eastAsia="ru-RU"/>
        </w:rPr>
        <w:t xml:space="preserve">Статья </w:t>
      </w:r>
      <w:r w:rsidR="00C952A3">
        <w:rPr>
          <w:rFonts w:ascii="Times New Roman" w:eastAsia="Times New Roman" w:hAnsi="Times New Roman" w:cs="Times New Roman"/>
          <w:b/>
          <w:noProof/>
          <w:sz w:val="28"/>
          <w:szCs w:val="28"/>
          <w:lang w:eastAsia="ru-RU"/>
        </w:rPr>
        <w:t>8</w:t>
      </w:r>
      <w:r w:rsidRPr="0042058C">
        <w:rPr>
          <w:rFonts w:ascii="Times New Roman" w:eastAsia="Times New Roman" w:hAnsi="Times New Roman" w:cs="Times New Roman"/>
          <w:b/>
          <w:noProof/>
          <w:sz w:val="28"/>
          <w:szCs w:val="28"/>
          <w:lang w:eastAsia="ru-RU"/>
        </w:rPr>
        <w:t>. Изменение границ населенных пунктов Труновского муниципального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b/>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Одной из наиболее важных причин изменения границ населенных пунктов в составе Труновского муниципального округа является резервирование дополнительных территорий для развития объектов сельскохозяйственного производства. Сегодня аграрный сектор является ведущим в Труновском муниципальном округе, и важно резервировать новые территории для привлечения инвесторов. Изменение категории земель является неотъемлемой частью развития любого населенного пункта.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Границы Труновского муниципального округа установлены соответственно границе Труновского района Ставропольского края, определенной приложением 20 к Закону Ставропольского края от 1 декабря 2003 года № 45-кз «Об установлении внешних границ районов Ставропольского края».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Проектом генерального плана предусматривается перевод земельных участков из одной категории в другую (в том числе земель сельскохозяйственного назначения) для включения в границу населенных пунктов Труновского муниципального округа (таблица).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right"/>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Таблица 1</w:t>
      </w:r>
      <w:r w:rsidR="00E3531F">
        <w:rPr>
          <w:rFonts w:ascii="Times New Roman" w:eastAsia="Times New Roman" w:hAnsi="Times New Roman" w:cs="Times New Roman"/>
          <w:noProof/>
          <w:sz w:val="28"/>
          <w:szCs w:val="28"/>
          <w:lang w:eastAsia="ru-RU"/>
        </w:rPr>
        <w:t>2</w:t>
      </w:r>
      <w:r w:rsidR="00E86957">
        <w:rPr>
          <w:rFonts w:ascii="Times New Roman" w:eastAsia="Times New Roman" w:hAnsi="Times New Roman" w:cs="Times New Roman"/>
          <w:noProof/>
          <w:sz w:val="28"/>
          <w:szCs w:val="28"/>
          <w:lang w:eastAsia="ru-RU"/>
        </w:rPr>
        <w:t>0</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Перечень земельных участков включаемых в границы населенных пунктов Труновского муниципального округа</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4"/>
        <w:gridCol w:w="1416"/>
        <w:gridCol w:w="1695"/>
        <w:gridCol w:w="1895"/>
        <w:gridCol w:w="1216"/>
        <w:gridCol w:w="1895"/>
        <w:gridCol w:w="867"/>
      </w:tblGrid>
      <w:tr w:rsidR="0042058C" w:rsidRPr="0042058C" w:rsidTr="0042058C">
        <w:trPr>
          <w:cantSplit/>
          <w:trHeight w:val="1088"/>
        </w:trPr>
        <w:tc>
          <w:tcPr>
            <w:tcW w:w="255"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п/п</w:t>
            </w:r>
          </w:p>
        </w:tc>
        <w:tc>
          <w:tcPr>
            <w:tcW w:w="748"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Кадастровый номер земельного участка</w:t>
            </w:r>
          </w:p>
        </w:tc>
        <w:tc>
          <w:tcPr>
            <w:tcW w:w="895"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Существующая категория земель</w:t>
            </w:r>
          </w:p>
        </w:tc>
        <w:tc>
          <w:tcPr>
            <w:tcW w:w="1001"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Существующее использование земельного участка</w:t>
            </w:r>
          </w:p>
        </w:tc>
        <w:tc>
          <w:tcPr>
            <w:tcW w:w="642"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Планируемая категория земель</w:t>
            </w:r>
          </w:p>
        </w:tc>
        <w:tc>
          <w:tcPr>
            <w:tcW w:w="1001"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Планируемое использование земельного участка</w:t>
            </w:r>
          </w:p>
        </w:tc>
        <w:tc>
          <w:tcPr>
            <w:tcW w:w="458" w:type="pct"/>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Площадь м</w:t>
            </w:r>
            <w:r w:rsidRPr="0042058C">
              <w:rPr>
                <w:rFonts w:ascii="Times New Roman" w:eastAsia="Calibri" w:hAnsi="Times New Roman" w:cs="Times New Roman"/>
                <w:bCs/>
                <w:sz w:val="20"/>
                <w:szCs w:val="20"/>
                <w:vertAlign w:val="superscript"/>
              </w:rPr>
              <w:t>2</w:t>
            </w:r>
          </w:p>
        </w:tc>
      </w:tr>
      <w:tr w:rsidR="0042058C" w:rsidRPr="0042058C" w:rsidTr="0042058C">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 Труновское</w:t>
            </w:r>
          </w:p>
        </w:tc>
      </w:tr>
      <w:tr w:rsidR="0042058C" w:rsidRPr="0042058C" w:rsidTr="0042058C">
        <w:trPr>
          <w:cantSplit/>
          <w:trHeight w:val="188"/>
        </w:trPr>
        <w:tc>
          <w:tcPr>
            <w:tcW w:w="255" w:type="pct"/>
            <w:tcBorders>
              <w:top w:val="single" w:sz="4" w:space="0" w:color="auto"/>
              <w:left w:val="single" w:sz="4" w:space="0" w:color="auto"/>
              <w:bottom w:val="single" w:sz="4" w:space="0" w:color="auto"/>
              <w:right w:val="single" w:sz="4" w:space="0" w:color="auto"/>
            </w:tcBorders>
            <w:vAlign w:val="center"/>
          </w:tcPr>
          <w:p w:rsidR="0042058C" w:rsidRPr="0042058C" w:rsidRDefault="0042058C" w:rsidP="00953F17">
            <w:pPr>
              <w:widowControl w:val="0"/>
              <w:numPr>
                <w:ilvl w:val="0"/>
                <w:numId w:val="35"/>
              </w:numPr>
              <w:autoSpaceDE w:val="0"/>
              <w:autoSpaceDN w:val="0"/>
              <w:adjustRightInd w:val="0"/>
              <w:spacing w:after="160" w:line="256" w:lineRule="auto"/>
              <w:ind w:left="0" w:firstLine="0"/>
              <w:rPr>
                <w:rFonts w:ascii="Times New Roman" w:eastAsia="Times New Roman" w:hAnsi="Times New Roman" w:cs="Times New Roman"/>
                <w:bCs/>
                <w:color w:val="00000A"/>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color w:val="000000"/>
                <w:sz w:val="20"/>
                <w:szCs w:val="20"/>
                <w:shd w:val="clear" w:color="auto" w:fill="FFFFFF"/>
              </w:rPr>
              <w:t>26:05:051104:23</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Для организации крестьянского хозяйства</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Земли населённых пунктов</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сельскохозяйственного производства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058C" w:rsidRPr="0042058C" w:rsidRDefault="0042058C" w:rsidP="0042058C">
            <w:pPr>
              <w:spacing w:after="0" w:line="240" w:lineRule="auto"/>
              <w:jc w:val="right"/>
              <w:rPr>
                <w:rFonts w:ascii="Times New Roman" w:eastAsia="Calibri" w:hAnsi="Times New Roman" w:cs="Times New Roman"/>
                <w:bCs/>
                <w:sz w:val="20"/>
                <w:szCs w:val="20"/>
              </w:rPr>
            </w:pPr>
            <w:r w:rsidRPr="0042058C">
              <w:rPr>
                <w:rFonts w:ascii="Times New Roman" w:eastAsia="Calibri" w:hAnsi="Times New Roman" w:cs="Times New Roman"/>
                <w:color w:val="000000"/>
                <w:sz w:val="20"/>
                <w:szCs w:val="20"/>
                <w:shd w:val="clear" w:color="auto" w:fill="FFFFFF"/>
              </w:rPr>
              <w:t>50 000</w:t>
            </w:r>
          </w:p>
        </w:tc>
      </w:tr>
      <w:tr w:rsidR="0042058C" w:rsidRPr="0042058C" w:rsidTr="0042058C">
        <w:trPr>
          <w:cantSplit/>
          <w:trHeight w:val="1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 Безопасное</w:t>
            </w:r>
          </w:p>
        </w:tc>
      </w:tr>
      <w:tr w:rsidR="0042058C" w:rsidRPr="0042058C" w:rsidTr="0042058C">
        <w:trPr>
          <w:cantSplit/>
          <w:trHeight w:val="188"/>
        </w:trPr>
        <w:tc>
          <w:tcPr>
            <w:tcW w:w="255" w:type="pct"/>
            <w:tcBorders>
              <w:top w:val="single" w:sz="4" w:space="0" w:color="auto"/>
              <w:left w:val="single" w:sz="4" w:space="0" w:color="auto"/>
              <w:bottom w:val="single" w:sz="4" w:space="0" w:color="auto"/>
              <w:right w:val="single" w:sz="4" w:space="0" w:color="auto"/>
            </w:tcBorders>
            <w:vAlign w:val="center"/>
          </w:tcPr>
          <w:p w:rsidR="0042058C" w:rsidRPr="0042058C" w:rsidRDefault="0042058C" w:rsidP="00953F17">
            <w:pPr>
              <w:widowControl w:val="0"/>
              <w:numPr>
                <w:ilvl w:val="0"/>
                <w:numId w:val="35"/>
              </w:numPr>
              <w:autoSpaceDE w:val="0"/>
              <w:autoSpaceDN w:val="0"/>
              <w:adjustRightInd w:val="0"/>
              <w:spacing w:after="160" w:line="256" w:lineRule="auto"/>
              <w:ind w:left="0" w:firstLine="0"/>
              <w:rPr>
                <w:rFonts w:ascii="Times New Roman" w:eastAsia="Times New Roman" w:hAnsi="Times New Roman" w:cs="Times New Roman"/>
                <w:bCs/>
                <w:color w:val="00000A"/>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shd w:val="clear" w:color="auto" w:fill="FFFFFF"/>
              </w:rPr>
            </w:pPr>
            <w:r w:rsidRPr="0042058C">
              <w:rPr>
                <w:rFonts w:ascii="Times New Roman" w:eastAsia="Calibri" w:hAnsi="Times New Roman" w:cs="Times New Roman"/>
                <w:bCs/>
                <w:color w:val="000000"/>
                <w:sz w:val="20"/>
                <w:szCs w:val="20"/>
                <w:shd w:val="clear" w:color="auto" w:fill="FFFFFF"/>
              </w:rPr>
              <w:t>26:05:023422:18</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Земли населённых пунктов</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сельскохозяйственного производства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301 609</w:t>
            </w:r>
          </w:p>
        </w:tc>
      </w:tr>
      <w:tr w:rsidR="0042058C" w:rsidRPr="0042058C" w:rsidTr="0042058C">
        <w:trPr>
          <w:cantSplit/>
          <w:trHeight w:val="188"/>
        </w:trPr>
        <w:tc>
          <w:tcPr>
            <w:tcW w:w="255" w:type="pct"/>
            <w:tcBorders>
              <w:top w:val="single" w:sz="4" w:space="0" w:color="auto"/>
              <w:left w:val="single" w:sz="4" w:space="0" w:color="auto"/>
              <w:bottom w:val="single" w:sz="4" w:space="0" w:color="auto"/>
              <w:right w:val="single" w:sz="4" w:space="0" w:color="auto"/>
            </w:tcBorders>
            <w:vAlign w:val="center"/>
          </w:tcPr>
          <w:p w:rsidR="0042058C" w:rsidRPr="0042058C" w:rsidRDefault="0042058C" w:rsidP="00953F17">
            <w:pPr>
              <w:widowControl w:val="0"/>
              <w:numPr>
                <w:ilvl w:val="0"/>
                <w:numId w:val="35"/>
              </w:numPr>
              <w:autoSpaceDE w:val="0"/>
              <w:autoSpaceDN w:val="0"/>
              <w:adjustRightInd w:val="0"/>
              <w:spacing w:after="160" w:line="256" w:lineRule="auto"/>
              <w:ind w:left="0" w:firstLine="0"/>
              <w:rPr>
                <w:rFonts w:ascii="Times New Roman" w:eastAsia="Times New Roman" w:hAnsi="Times New Roman" w:cs="Times New Roman"/>
                <w:bCs/>
                <w:color w:val="00000A"/>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shd w:val="clear" w:color="auto" w:fill="FFFFFF"/>
              </w:rPr>
            </w:pPr>
            <w:r w:rsidRPr="0042058C">
              <w:rPr>
                <w:rFonts w:ascii="Times New Roman" w:eastAsia="Calibri" w:hAnsi="Times New Roman" w:cs="Times New Roman"/>
                <w:bCs/>
                <w:color w:val="000000"/>
                <w:sz w:val="20"/>
                <w:szCs w:val="20"/>
                <w:shd w:val="clear" w:color="auto" w:fill="FFFFFF"/>
              </w:rPr>
              <w:t>26:05:023202:1</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Земли населённых пунктов</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сельскохозяйственного производства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right"/>
              <w:rPr>
                <w:rFonts w:ascii="Times New Roman" w:eastAsia="Calibri" w:hAnsi="Times New Roman" w:cs="Times New Roman"/>
                <w:color w:val="000000"/>
                <w:sz w:val="20"/>
                <w:szCs w:val="20"/>
                <w:shd w:val="clear" w:color="auto" w:fill="FFFFFF"/>
              </w:rPr>
            </w:pPr>
            <w:r w:rsidRPr="0042058C">
              <w:rPr>
                <w:rFonts w:ascii="Times New Roman" w:eastAsia="Calibri" w:hAnsi="Times New Roman" w:cs="Times New Roman"/>
                <w:color w:val="000000"/>
                <w:sz w:val="20"/>
                <w:szCs w:val="20"/>
                <w:shd w:val="clear" w:color="auto" w:fill="FFFFFF"/>
              </w:rPr>
              <w:t>450 000</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Всего настоящим проектом генерального плана предлагается включение в границы 2 населенных пунктов Труновского муниципального округа 3 земельных участков. Основное планируемое использование переводимых земельных участков (приведенное в таблице) необходимо для обеспечения устойчивого градостроительного развития указанных сельских населенных пунктов.</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Перевод земельных участков из земель лесного фонда в другие категории настоящим проектом генерального плана не предусматривается.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w:t>
      </w:r>
    </w:p>
    <w:p w:rsidR="0042058C" w:rsidRPr="0042058C" w:rsidRDefault="0042058C" w:rsidP="00D766F3">
      <w:pPr>
        <w:autoSpaceDE w:val="0"/>
        <w:autoSpaceDN w:val="0"/>
        <w:adjustRightInd w:val="0"/>
        <w:spacing w:after="0"/>
        <w:ind w:firstLine="709"/>
        <w:rPr>
          <w:rFonts w:ascii="Times New Roman" w:eastAsia="Times New Roman" w:hAnsi="Times New Roman" w:cs="Times New Roman"/>
          <w:b/>
          <w:noProof/>
          <w:sz w:val="28"/>
          <w:szCs w:val="28"/>
          <w:lang w:eastAsia="ru-RU"/>
        </w:rPr>
      </w:pPr>
      <w:r w:rsidRPr="0042058C">
        <w:rPr>
          <w:rFonts w:ascii="Times New Roman" w:eastAsia="Times New Roman" w:hAnsi="Times New Roman" w:cs="Times New Roman"/>
          <w:b/>
          <w:noProof/>
          <w:sz w:val="28"/>
          <w:szCs w:val="28"/>
          <w:lang w:eastAsia="ru-RU"/>
        </w:rPr>
        <w:t xml:space="preserve">Статья </w:t>
      </w:r>
      <w:r w:rsidR="00C952A3">
        <w:rPr>
          <w:rFonts w:ascii="Times New Roman" w:eastAsia="Times New Roman" w:hAnsi="Times New Roman" w:cs="Times New Roman"/>
          <w:b/>
          <w:noProof/>
          <w:sz w:val="28"/>
          <w:szCs w:val="28"/>
          <w:lang w:eastAsia="ru-RU"/>
        </w:rPr>
        <w:t>9</w:t>
      </w:r>
      <w:r w:rsidRPr="0042058C">
        <w:rPr>
          <w:rFonts w:ascii="Times New Roman" w:eastAsia="Times New Roman" w:hAnsi="Times New Roman" w:cs="Times New Roman"/>
          <w:b/>
          <w:noProof/>
          <w:sz w:val="28"/>
          <w:szCs w:val="28"/>
          <w:lang w:eastAsia="ru-RU"/>
        </w:rPr>
        <w:t>. Технико-экономические показатели генерального плана Труновского муниципального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b/>
          <w:noProof/>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7"/>
        <w:gridCol w:w="4060"/>
        <w:gridCol w:w="1185"/>
        <w:gridCol w:w="29"/>
        <w:gridCol w:w="1530"/>
        <w:gridCol w:w="48"/>
        <w:gridCol w:w="1937"/>
      </w:tblGrid>
      <w:tr w:rsidR="0042058C" w:rsidRPr="0042058C" w:rsidTr="0042058C">
        <w:tc>
          <w:tcPr>
            <w:tcW w:w="817" w:type="dxa"/>
            <w:shd w:val="clear" w:color="auto" w:fill="auto"/>
            <w:vAlign w:val="center"/>
          </w:tcPr>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 </w:t>
            </w:r>
          </w:p>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п/п</w:t>
            </w:r>
          </w:p>
        </w:tc>
        <w:tc>
          <w:tcPr>
            <w:tcW w:w="4060" w:type="dxa"/>
            <w:shd w:val="clear" w:color="auto" w:fill="auto"/>
            <w:vAlign w:val="center"/>
          </w:tcPr>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показателя</w:t>
            </w:r>
          </w:p>
        </w:tc>
        <w:tc>
          <w:tcPr>
            <w:tcW w:w="1214" w:type="dxa"/>
            <w:gridSpan w:val="2"/>
            <w:shd w:val="clear" w:color="auto" w:fill="auto"/>
            <w:vAlign w:val="center"/>
          </w:tcPr>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Единица измерения</w:t>
            </w:r>
          </w:p>
        </w:tc>
        <w:tc>
          <w:tcPr>
            <w:tcW w:w="1578" w:type="dxa"/>
            <w:gridSpan w:val="2"/>
            <w:shd w:val="clear" w:color="auto" w:fill="auto"/>
            <w:vAlign w:val="center"/>
          </w:tcPr>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Современное состояние</w:t>
            </w:r>
          </w:p>
        </w:tc>
        <w:tc>
          <w:tcPr>
            <w:tcW w:w="1937" w:type="dxa"/>
            <w:shd w:val="clear" w:color="auto" w:fill="auto"/>
            <w:vAlign w:val="center"/>
          </w:tcPr>
          <w:p w:rsidR="0042058C" w:rsidRPr="0042058C" w:rsidRDefault="0042058C" w:rsidP="0042058C">
            <w:pPr>
              <w:keepNext/>
              <w:keepLine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Расчетный срок</w:t>
            </w:r>
          </w:p>
        </w:tc>
      </w:tr>
      <w:tr w:rsidR="0042058C" w:rsidRPr="0042058C" w:rsidTr="0042058C">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Территория муниципального округа</w:t>
            </w:r>
          </w:p>
        </w:tc>
      </w:tr>
      <w:tr w:rsidR="0042058C" w:rsidRPr="0042058C" w:rsidTr="0042058C">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в границах муниципального образования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168511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168511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Земли сельскохозяйственного назначения,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152936,87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152706,85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150696,81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150466,79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2240,06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2240,06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439,89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589,75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64,84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214,70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375,05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375,05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Земли лесного фонда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Земли водного фонда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sz w:val="20"/>
                <w:szCs w:val="20"/>
              </w:rPr>
              <w:t>3066,68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sz w:val="20"/>
                <w:szCs w:val="20"/>
              </w:rPr>
              <w:t>3066,68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Земли населенных пунктов,</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11670,56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11750,72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3366,64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3441,80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Безопасного)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3366,64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3441,80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1077,45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1086,95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1074,59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1084,09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смешанной и общественно-деловой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19,13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19,13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7,11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7,11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12,02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12,02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160,39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160,39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146,41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146,41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2069,85</w:t>
            </w:r>
          </w:p>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2135,51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1973,53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1790,26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96,32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345,25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17,50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17,50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17,50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17,50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18,53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18,53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18,53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18,53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2788,78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2788,78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Донского)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2788,78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2788,78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1083,58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1129,15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1066,20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1111,77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17,38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17,38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62,52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62,74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31,50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31,63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31,02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31,11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322,77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338,17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154,43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161,87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18,46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18,46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149,88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157,84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1040,09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986,87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880,26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827,04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159,83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159,83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p w:rsidR="0042058C" w:rsidRPr="0042058C" w:rsidRDefault="0042058C" w:rsidP="0042058C">
            <w:pPr>
              <w:spacing w:after="0" w:line="240" w:lineRule="auto"/>
              <w:rPr>
                <w:rFonts w:ascii="Times New Roman" w:eastAsia="Calibri" w:hAnsi="Times New Roman" w:cs="Times New Roman"/>
                <w:sz w:val="20"/>
                <w:szCs w:val="20"/>
              </w:rPr>
            </w:pP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132,72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132,72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91,17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91,17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отдыха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41,55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41,55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147,1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139,13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25,43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25,43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складирования и захоронения отходов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специального назначения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111,16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103,19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 Егорлык</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х. Егорлык)</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29,29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Ключевское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437,09</w:t>
            </w:r>
          </w:p>
        </w:tc>
        <w:tc>
          <w:tcPr>
            <w:tcW w:w="1985" w:type="dxa"/>
            <w:gridSpan w:val="2"/>
            <w:shd w:val="clear" w:color="auto" w:fill="auto"/>
            <w:vAlign w:val="center"/>
          </w:tcPr>
          <w:p w:rsidR="0042058C" w:rsidRPr="0042058C" w:rsidRDefault="0042058C" w:rsidP="00D766F3">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437,09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Ключевского)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437,09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437,09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122,80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122,80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122,80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122,80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1,98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1,98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302,52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302,52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300,6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 Кофанов</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х. Кофанов)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23,77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23,77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3,64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75,52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75,52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74,7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0,82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0,82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 Невдахин</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204,99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204,99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х. Невдахин)</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204,99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204,99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64,81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64,81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64,81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64,81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8,76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8,76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123,47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123,47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123,47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123,47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3,63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3,63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3,63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3,63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специального назначения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 Нижняя Терновка</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223,45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223,45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п. Нижняя Терновка)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223,45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223,45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14,03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0,97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0,97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207,66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207,66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198,65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198,65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9,01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9,01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269,07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269,07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Новая Кугульта)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269,07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269,07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103,40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103,40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103,40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103,40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11,72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11,11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11,11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149,04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148,33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139,95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138,45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9,88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 Новотерновский</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227,36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227,36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п. Новотерновского)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227,36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227,36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33,20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33,20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33,20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33,20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0,56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0,56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10,73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10,73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8,30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8,30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182,16</w:t>
            </w:r>
          </w:p>
          <w:p w:rsidR="0042058C" w:rsidRPr="0042058C" w:rsidRDefault="0042058C" w:rsidP="0042058C">
            <w:pPr>
              <w:spacing w:after="0" w:line="240" w:lineRule="auto"/>
              <w:rPr>
                <w:rFonts w:ascii="Times New Roman" w:eastAsia="Calibri" w:hAnsi="Times New Roman" w:cs="Times New Roman"/>
                <w:bCs/>
                <w:color w:val="000000"/>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182,16</w:t>
            </w:r>
          </w:p>
          <w:p w:rsidR="0042058C" w:rsidRPr="0042058C" w:rsidRDefault="0042058C" w:rsidP="0042058C">
            <w:pPr>
              <w:spacing w:after="0" w:line="240" w:lineRule="auto"/>
              <w:rPr>
                <w:rFonts w:ascii="Times New Roman" w:eastAsia="Calibri" w:hAnsi="Times New Roman" w:cs="Times New Roman"/>
                <w:bCs/>
                <w:color w:val="000000"/>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182,16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182,16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0,71</w:t>
            </w:r>
          </w:p>
        </w:tc>
        <w:tc>
          <w:tcPr>
            <w:tcW w:w="1985" w:type="dxa"/>
            <w:gridSpan w:val="2"/>
            <w:shd w:val="clear" w:color="auto" w:fill="auto"/>
            <w:vAlign w:val="center"/>
          </w:tcPr>
          <w:p w:rsidR="0042058C" w:rsidRPr="0042058C" w:rsidRDefault="0042058C" w:rsidP="0042058C">
            <w:pPr>
              <w:tabs>
                <w:tab w:val="left" w:pos="430"/>
                <w:tab w:val="center" w:pos="671"/>
              </w:tabs>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tabs>
                <w:tab w:val="left" w:pos="430"/>
                <w:tab w:val="center" w:pos="671"/>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690,58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690,58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Подлесного)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690,58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690,58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290,55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290,55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290,55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290,55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10,49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10,49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9,14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279,59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279,59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252,25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252,25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27,34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27,34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31,96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31,96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специального назначения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28,71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28,71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 им. Кирова</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482,34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482,34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п. им. Кирова)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482,34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482,34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88,61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88,61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88,22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88,22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8,63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1,91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1,91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6,30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11,21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11,21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0,80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0,80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10,38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368,67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368,25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319,24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318,82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49,43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49,43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 Правоегорлыкский</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160,00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п. Правоегорлыкского)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160,00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160,00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21,59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21,59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0,50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43,9</w:t>
            </w:r>
          </w:p>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43,9</w:t>
            </w:r>
          </w:p>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42,85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42,85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94,01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94,01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87,72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87,72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6,29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 Сухой Лог</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162,65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162,65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п. Сухой Лог)</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162,65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162,65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153,02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153,02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145,61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145,61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7,41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2408,5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2413,50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с. Труновского)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2408,5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2413,50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794,89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794,89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794,52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794,52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22,58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22,58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9,77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9,77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специализированной общественной застройки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12,81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12,81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97,53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99,02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15,45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15,45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инженерной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81,04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82,53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1473,26</w:t>
            </w:r>
          </w:p>
          <w:p w:rsidR="0042058C" w:rsidRPr="0042058C" w:rsidRDefault="0042058C" w:rsidP="0042058C">
            <w:pPr>
              <w:spacing w:after="0" w:line="240" w:lineRule="auto"/>
              <w:rPr>
                <w:rFonts w:ascii="Times New Roman" w:eastAsia="Calibri" w:hAnsi="Times New Roman" w:cs="Times New Roman"/>
                <w:bCs/>
                <w:color w:val="000000"/>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bCs/>
                <w:color w:val="000000"/>
                <w:sz w:val="20"/>
                <w:szCs w:val="20"/>
              </w:rPr>
            </w:pPr>
            <w:r w:rsidRPr="0042058C">
              <w:rPr>
                <w:rFonts w:ascii="Times New Roman" w:eastAsia="Calibri" w:hAnsi="Times New Roman" w:cs="Times New Roman"/>
                <w:bCs/>
                <w:color w:val="000000"/>
                <w:sz w:val="20"/>
                <w:szCs w:val="20"/>
              </w:rPr>
              <w:t>1468,78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1397,1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1392,62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Производственная зона сельскохозяйственных предприятий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76,16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76,16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рекреационного использования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9,35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18,88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18,88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х. Эммануэлевский</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земель населенных пунктов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114,44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114,44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площадь функциональных зон (в границах х. Эммануэлевского)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114,44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114,44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Жилые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65,70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65,70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застройки индивидуальными жилыми домами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65,70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65,70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Общественно-деловые зоны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Многофункциональная общественно-деловая зона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0,12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Производственные зоны, зоны транспортной инфраструктуры, зоны инженерной инфраструктуры</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7,26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7,26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транспортной инфраструктуры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7,26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7,26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40,86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sz w:val="20"/>
                <w:szCs w:val="20"/>
              </w:rPr>
              <w:t>40,74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сельскохозяйственных угодий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40,86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color w:val="000000"/>
                <w:sz w:val="20"/>
                <w:szCs w:val="20"/>
              </w:rPr>
            </w:pPr>
            <w:r w:rsidRPr="0042058C">
              <w:rPr>
                <w:rFonts w:ascii="Times New Roman" w:eastAsia="Calibri" w:hAnsi="Times New Roman" w:cs="Times New Roman"/>
                <w:color w:val="000000"/>
                <w:sz w:val="20"/>
                <w:szCs w:val="20"/>
              </w:rPr>
              <w:t>40,74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Зоны специального назначения</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кладбищ</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0,62</w:t>
            </w:r>
          </w:p>
        </w:tc>
      </w:tr>
      <w:tr w:rsidR="0042058C" w:rsidRPr="0042058C" w:rsidTr="0042058C">
        <w:trPr>
          <w:trHeight w:val="60"/>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Население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Общая численность постоянного населения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Плотность населения </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чел. на км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Возрастная структура населения: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Младше трудоспособного возраста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5551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2916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Доля населения младше трудоспособного возраста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трудоспособном возрасте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15789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13895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Доля населения трудоспособного возраста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52,9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Старше трудоспособного возраста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8506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7217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Доля населения старше трудоспособного возраста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Жилищный фонд</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Общий объем жилищного фонда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S</w:t>
            </w:r>
            <w:r w:rsidRPr="0042058C">
              <w:rPr>
                <w:rFonts w:ascii="Times New Roman" w:eastAsia="Calibri" w:hAnsi="Times New Roman" w:cs="Times New Roman"/>
                <w:sz w:val="20"/>
                <w:szCs w:val="20"/>
                <w:vertAlign w:val="subscript"/>
              </w:rPr>
              <w:t>общ,</w:t>
            </w:r>
            <w:r w:rsidRPr="0042058C">
              <w:rPr>
                <w:rFonts w:ascii="Times New Roman" w:eastAsia="Calibri" w:hAnsi="Times New Roman" w:cs="Times New Roman"/>
                <w:sz w:val="20"/>
                <w:szCs w:val="20"/>
              </w:rPr>
              <w:t xml:space="preserve"> тыс. 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774,5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829,52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388,9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434,46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121,0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130,46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17,8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44,9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44,9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145,5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145,5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им. Кирова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lang w:val="en-US"/>
              </w:rPr>
              <w:t>S</w:t>
            </w:r>
            <w:r w:rsidRPr="0042058C">
              <w:rPr>
                <w:rFonts w:ascii="Times New Roman" w:eastAsia="Calibri" w:hAnsi="Times New Roman" w:cs="Times New Roman"/>
                <w:sz w:val="20"/>
                <w:szCs w:val="20"/>
                <w:vertAlign w:val="subscript"/>
              </w:rPr>
              <w:t xml:space="preserve">общ, </w:t>
            </w:r>
            <w:r w:rsidRPr="0042058C">
              <w:rPr>
                <w:rFonts w:ascii="Times New Roman" w:eastAsia="Calibri" w:hAnsi="Times New Roman" w:cs="Times New Roman"/>
                <w:sz w:val="20"/>
                <w:szCs w:val="20"/>
              </w:rPr>
              <w:t>тыс</w:t>
            </w:r>
            <w:r w:rsidRPr="0042058C">
              <w:rPr>
                <w:rFonts w:ascii="Times New Roman" w:eastAsia="Calibri" w:hAnsi="Times New Roman" w:cs="Times New Roman"/>
                <w:sz w:val="20"/>
                <w:szCs w:val="20"/>
                <w:vertAlign w:val="subscript"/>
              </w:rPr>
              <w:t xml:space="preserve">. </w:t>
            </w: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56,4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Средняя обеспеченность населения Sобщ. (по муниципальному округу и по каждому территориальному отделу)</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25,1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Территориальное управление в с. Донском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19,1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26,5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27,9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Труновском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24,7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Территориальное управление в </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 им. Кирова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w:t>
            </w:r>
            <w:r w:rsidRPr="0042058C">
              <w:rPr>
                <w:rFonts w:ascii="Times New Roman" w:eastAsia="Calibri" w:hAnsi="Times New Roman" w:cs="Times New Roman"/>
                <w:sz w:val="20"/>
                <w:szCs w:val="20"/>
                <w:vertAlign w:val="superscript"/>
              </w:rPr>
              <w:t>2</w:t>
            </w:r>
            <w:r w:rsidRPr="0042058C">
              <w:rPr>
                <w:rFonts w:ascii="Times New Roman" w:eastAsia="Calibri" w:hAnsi="Times New Roman" w:cs="Times New Roman"/>
                <w:sz w:val="20"/>
                <w:szCs w:val="20"/>
              </w:rPr>
              <w:t>/чел.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Объекты социального и культурно-бытового обслуживания населения </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учебно-образовательного назначения,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дошкольного образования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2160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общего образования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4861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дополнительного образования</w:t>
            </w:r>
          </w:p>
        </w:tc>
        <w:tc>
          <w:tcPr>
            <w:tcW w:w="1185" w:type="dxa"/>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здравоохранения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коек/пос. в смену</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156/790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социального обеспечения</w:t>
            </w:r>
          </w:p>
        </w:tc>
        <w:tc>
          <w:tcPr>
            <w:tcW w:w="1185" w:type="dxa"/>
            <w:shd w:val="clear" w:color="auto" w:fill="auto"/>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Спортивные и физкультурно-оздоровительные объекты: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Спортивные залы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0,27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Стадионы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Спортивные площадки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культурно-досугового назначения,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Дом культуры (сельский клуб)</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15/2837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15/2837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Музейные учреждения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 хран./мест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11778/90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11778/90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Библиотеки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единиц/ед. хран.</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313761/98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313761/98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Музыкальные школы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Художественные школы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единиц/мест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Транспортаная инфраструктура</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дорог общего пользования регионального значения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136,2</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136,2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основных улиц и проездов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644,3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Водоснабжение и водоотведение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Водоснабжение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18,25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18,25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водопотребление – всего,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5,83</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6,24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хозяйственно-питьевые нужды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3,96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производственные нужды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0,49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0,59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полив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среднесуточное водопотребление на 1 человека,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л/сут. на 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108,9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165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на полив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л/в сут. на 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сетей водоснабжения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432,8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Общее поступление сточных вод</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всего, в том числе:</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0,90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хозяйственно-бытовые сточные воды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0,75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0,60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производственные сточные воды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0,09</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2"/>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неучтенные расходы</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0,05</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Мощность очистных сооружений </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 xml:space="preserve"> в сут.</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сетей канализации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32,15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Электроснабжение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потребление электроэнергии на 1 чел. в год</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Млн. кВт·ч/год на 1 чел.</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28,35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22,83</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сетей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1202,64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Теплоснабжение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потребление тепла</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всего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Гкал/год</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5,96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5,96</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Производительность источников теплоснабжения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Гкал/час</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13,74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13,74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сетей теплоснабжения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9,87</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Газоснабжение</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Обеспеченность газом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97,6</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потребление газа</w:t>
            </w:r>
          </w:p>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всего</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/год</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3357,0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5257,2</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протяженность сетей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км</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481,4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Определяется проектом</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Связь</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охват населения телевизионным вещанием</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 </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100</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обеспеченность населения телефонной сетью общего пользования</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номеров</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Объекты утилизации и переработки твердых коммунальных и промышленных отходов  </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Объем твердых коммунальных отходов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м</w:t>
            </w:r>
            <w:r w:rsidRPr="0042058C">
              <w:rPr>
                <w:rFonts w:ascii="Times New Roman" w:eastAsia="Calibri" w:hAnsi="Times New Roman" w:cs="Times New Roman"/>
                <w:sz w:val="20"/>
                <w:szCs w:val="20"/>
                <w:vertAlign w:val="superscript"/>
              </w:rPr>
              <w:t>3</w:t>
            </w:r>
            <w:r w:rsidRPr="0042058C">
              <w:rPr>
                <w:rFonts w:ascii="Times New Roman" w:eastAsia="Calibri" w:hAnsi="Times New Roman" w:cs="Times New Roman"/>
                <w:sz w:val="20"/>
                <w:szCs w:val="20"/>
              </w:rPr>
              <w:t>/ год</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86,4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88,9</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Масса отходов</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тыс. тонн</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6,5</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6,7</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Объекты предупреждения чрезвычайных ситуаций </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обеспечения пожарной безопасности</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объектов</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4</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0"/>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8789" w:type="dxa"/>
            <w:gridSpan w:val="6"/>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Объекты социального назначения</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Кладбища</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га</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64,88</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73,58</w:t>
            </w:r>
          </w:p>
        </w:tc>
      </w:tr>
      <w:tr w:rsidR="0042058C" w:rsidRPr="0042058C" w:rsidTr="0042058C">
        <w:trPr>
          <w:trHeight w:val="58"/>
        </w:trPr>
        <w:tc>
          <w:tcPr>
            <w:tcW w:w="817" w:type="dxa"/>
            <w:shd w:val="clear" w:color="auto" w:fill="auto"/>
            <w:vAlign w:val="center"/>
          </w:tcPr>
          <w:p w:rsidR="0042058C" w:rsidRPr="0042058C" w:rsidRDefault="0042058C" w:rsidP="00953F17">
            <w:pPr>
              <w:widowControl w:val="0"/>
              <w:numPr>
                <w:ilvl w:val="1"/>
                <w:numId w:val="73"/>
              </w:numPr>
              <w:autoSpaceDE w:val="0"/>
              <w:autoSpaceDN w:val="0"/>
              <w:adjustRightInd w:val="0"/>
              <w:spacing w:after="0" w:line="240" w:lineRule="auto"/>
              <w:jc w:val="center"/>
              <w:rPr>
                <w:rFonts w:ascii="Times New Roman" w:eastAsia="Calibri" w:hAnsi="Times New Roman" w:cs="Times New Roman"/>
                <w:sz w:val="20"/>
                <w:szCs w:val="20"/>
              </w:rPr>
            </w:pPr>
          </w:p>
        </w:tc>
        <w:tc>
          <w:tcPr>
            <w:tcW w:w="4060" w:type="dxa"/>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Крематорий</w:t>
            </w:r>
          </w:p>
        </w:tc>
        <w:tc>
          <w:tcPr>
            <w:tcW w:w="1185" w:type="dxa"/>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объектов</w:t>
            </w:r>
          </w:p>
        </w:tc>
        <w:tc>
          <w:tcPr>
            <w:tcW w:w="1559"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c>
          <w:tcPr>
            <w:tcW w:w="1985" w:type="dxa"/>
            <w:gridSpan w:val="2"/>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0</w:t>
            </w:r>
          </w:p>
        </w:tc>
      </w:tr>
    </w:tbl>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AC7BDA" w:rsidP="0042058C">
      <w:pPr>
        <w:autoSpaceDE w:val="0"/>
        <w:autoSpaceDN w:val="0"/>
        <w:adjustRightInd w:val="0"/>
        <w:spacing w:after="0"/>
        <w:ind w:firstLine="709"/>
        <w:jc w:val="both"/>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Заключение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b/>
          <w:noProof/>
          <w:sz w:val="28"/>
          <w:szCs w:val="28"/>
          <w:lang w:eastAsia="ru-RU"/>
        </w:rPr>
      </w:pPr>
    </w:p>
    <w:p w:rsidR="0042058C" w:rsidRPr="0042058C"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1. </w:t>
      </w:r>
      <w:r w:rsidR="0042058C" w:rsidRPr="0042058C">
        <w:rPr>
          <w:rFonts w:ascii="Times New Roman" w:eastAsia="Times New Roman" w:hAnsi="Times New Roman" w:cs="Times New Roman"/>
          <w:noProof/>
          <w:sz w:val="28"/>
          <w:szCs w:val="28"/>
          <w:lang w:eastAsia="ru-RU"/>
        </w:rPr>
        <w:t xml:space="preserve">Главным результатом НИР является генеральный план Труновского муниципального округа Ставропольского края, отвечающий требованиям современного законодательства Российской Федерации и Ставропольского края, необходимый для обеспечения градостроительной деятельности на его территории, поддержки принятия эффективных управленческих решений </w:t>
      </w:r>
      <w:r w:rsidR="00D766F3">
        <w:rPr>
          <w:rFonts w:ascii="Times New Roman" w:eastAsia="Times New Roman" w:hAnsi="Times New Roman" w:cs="Times New Roman"/>
          <w:noProof/>
          <w:sz w:val="28"/>
          <w:szCs w:val="28"/>
          <w:lang w:eastAsia="ru-RU"/>
        </w:rPr>
        <w:t xml:space="preserve">            </w:t>
      </w:r>
      <w:r w:rsidR="0042058C" w:rsidRPr="0042058C">
        <w:rPr>
          <w:rFonts w:ascii="Times New Roman" w:eastAsia="Times New Roman" w:hAnsi="Times New Roman" w:cs="Times New Roman"/>
          <w:noProof/>
          <w:sz w:val="28"/>
          <w:szCs w:val="28"/>
          <w:lang w:eastAsia="ru-RU"/>
        </w:rPr>
        <w:t>в сфере градостроительства в контексте устойчивого развития всей территории муниципального округа и населенных пунктов в его составе, с учетом векторов, ориентиров и перспектив, определенных документами стратегического и территориального планирования различных уровней (федерального, регионального, местного).</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Кроме этого, выполненная НИР позволяет сформулировать следующие выводы-результаты.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1</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Комплексный анализ природно-климатических условий показал высокую степень благоприятности территории округа практически по всем параметрам. Главные природные потенциалы округа – высокоплодородные почвы и благоприятные агроклиматические ресурсы. Ограничивающими факторами являются рельеф, инженерно-геологические условия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паводковый режим рек.</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2</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По уровню социально-экономического развития Труновский муниципальный округ входит в число среднеразвитых территорий Ставропольского края, не выделяясь на фоне других муниципальных округов.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3</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Демографическая ситуация в Труновском муниципальном округе – относительно неблагоприятная. Для динамики численности населения характерны отрицательные тенденции – население округа численность населения устойчиво сокращается. В округе наблюдается рост естественной убыли населения, в связи с сокращением рождаемости. Миграционный отток, наряду с естественной убылью, усиливает сокращение общего числа жителей.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Улучшение демографической ситуации возможно за счет улучшения репродуктивного здоровья населения, сокращения потерь населения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результате преждевременной смертности, особенно в трудоспособном возрасте.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Тенденции возрастной структуры связаны с увеличением доли лиц моложе и старше трудоспособного возраста на фоне сокращения доли трудоспособного. Высока нагрузка на трудоспособное население.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Для территории округа главной демографической проблемой становится снижение численности населения и сокращение числа граждан трудоспособного возраста. Данное положение обусловлено в первую очередь миграционным оттоком населения и высокой смертностью мужского населения в трудоспособном возрасте.</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 улучшением качества жизни населения, в условиях развития экономической базы и роста занятости населения, смены системы жизненных ценностей, уже в ближайшей перспективе тенденция депопуляции населения может быть преодолена.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4</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Округ обладает необходимым ресурсным, экономическим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кадровым потенциалом для достижения стратегических приоритетов обеспечения устойчивых темпов социально-экономического развития территории, росту уровня и качества жизни населения, укрепления налогового потенциала и увеличению собственных налоговых доходов.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5</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Основой для расчета перспективной обеспеченности населения округа объектами местного значения в социальной сфере послужило комплексное демографическое прогнозирование. Прогноз численности населения был выполнен в трех вариантах – оптимистическом, среднем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и пессимистическом. Верхней границей срока реального расчета перспективной численности населения, за которой начинаются неоправданно высокие погрешности, считается 25-летний период. Вследствие этого прогнозная оценка в пределах Труновского муниципального округа проводится на этот предельный срок – с 2021 по 2046 годы.</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Оптимистический сценарий связан с благоприятными возможностями социально-экономического развития. Пессимистический сценарий демографического прогноза противоположен по своему значению.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Он сочетается с неблагоприятным социально-экономическим развитием территории. Средний вариант прогноза предполагает постепенную стабилизацию социально-экономической ситуации, но значительно более медленную, чем при оптимистическом сценарии. Это наиболее вероятный вариант демографического развития округа.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Прогнозные расчеты показывают, что при оптимистическом прогнозе численность населения Труновского муниципального округа к 2046 г. снизится на 13,3%, по наиболее вероятному среднему варианту – снизится на 22,1%, по пессимистическому – сокращение составит 27,1%.</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Согласно базовому среднему варианту на первую очередь прогнозирования численность к 2031 г. сократится на 3,6 тыс. чел. Это проявится при сохранении современной демографической ситуации, которая зависит от определяющих ее уровеня рождаемости, смертности, естественной и миграционной убыли населения.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 xml:space="preserve">Естественная убыль и миграционный отток приводят к деформации возрастной структуры. Усиливаются процессы «старения населения». Происходит сокращение доли лиц моложе трудоспособного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и трудоспособного возраста, повышается удельный вес населения старше трудоспособного возраста.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Увеличивается показатель демографической нагрузки до уровня преобладания нетрудоспособного населения к концу периода в некоторых территориальных отделах.</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Негативной следует считать демографические тенденции в центре округа – селе Донском.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Изменение демографической ситуации оказывает непосредственное влияние на потребности населения в объектах социальной сферы, прежде всего, в учреждениях образования и здравоохранения.</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6</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В результате подготовки проекта генерального плана Труновского муниципального округа в соответствии с требованиями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ГрК РФ подготовлено Положение о территориальном планировании, содержащее перечень планируемых к размещению на территории округа объектов местного значения. Перечень объектов местного значения формировался на основе расчетных показателей необходимости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в обеспечении населения данными объектами, предложениями, полученными в рамках планировочных сессий с руководителями территориальных отделов в составе округа, отделами администраций и жителями Труновского муниципального округа. Данный перечень для удобства разделен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по отдельным направлениям.</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Всего на территории муниципального округа к строительству или реконструкции предусмотрены объекты местного значения в различных областях. Полный перечень отражен в Положении о территориальном планировании. Данный перечень объектов может быть изменен в рамках проведения публичных слушаний по проекту генерального плана.</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7</w:t>
      </w:r>
      <w:r w:rsidR="00E3531F">
        <w:rPr>
          <w:rFonts w:ascii="Times New Roman" w:eastAsia="Times New Roman" w:hAnsi="Times New Roman" w:cs="Times New Roman"/>
          <w:noProof/>
          <w:sz w:val="28"/>
          <w:szCs w:val="28"/>
          <w:lang w:eastAsia="ru-RU"/>
        </w:rPr>
        <w:t>)</w:t>
      </w:r>
      <w:r w:rsidRPr="0042058C">
        <w:rPr>
          <w:rFonts w:ascii="Times New Roman" w:eastAsia="Times New Roman" w:hAnsi="Times New Roman" w:cs="Times New Roman"/>
          <w:noProof/>
          <w:sz w:val="28"/>
          <w:szCs w:val="28"/>
          <w:lang w:eastAsia="ru-RU"/>
        </w:rPr>
        <w:t xml:space="preserve"> На территории Труновского муниципального округа </w:t>
      </w:r>
      <w:r w:rsidR="00D766F3">
        <w:rPr>
          <w:rFonts w:ascii="Times New Roman" w:eastAsia="Times New Roman" w:hAnsi="Times New Roman" w:cs="Times New Roman"/>
          <w:noProof/>
          <w:sz w:val="28"/>
          <w:szCs w:val="28"/>
          <w:lang w:eastAsia="ru-RU"/>
        </w:rPr>
        <w:t xml:space="preserve">                          </w:t>
      </w:r>
      <w:r w:rsidRPr="0042058C">
        <w:rPr>
          <w:rFonts w:ascii="Times New Roman" w:eastAsia="Times New Roman" w:hAnsi="Times New Roman" w:cs="Times New Roman"/>
          <w:noProof/>
          <w:sz w:val="28"/>
          <w:szCs w:val="28"/>
          <w:lang w:eastAsia="ru-RU"/>
        </w:rPr>
        <w:t xml:space="preserve">не предусмотрено размещение объектов федерального значения. </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r w:rsidRPr="0042058C">
        <w:rPr>
          <w:rFonts w:ascii="Times New Roman" w:eastAsia="Times New Roman" w:hAnsi="Times New Roman" w:cs="Times New Roman"/>
          <w:noProof/>
          <w:sz w:val="28"/>
          <w:szCs w:val="28"/>
          <w:lang w:eastAsia="ru-RU"/>
        </w:rPr>
        <w:t>На территории округа планируется к размещению 25 объектов регионального значения, относящихся к различным отраслям. Основанием для размещения этих объектов является Схема территориального планирования Ставропольского края, Краевая адресная инвестиционная программа и другие документы регионального уровня.</w:t>
      </w:r>
    </w:p>
    <w:p w:rsid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E3531F" w:rsidRPr="0042058C" w:rsidRDefault="00E3531F"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AC7BDA">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1</w:t>
      </w:r>
    </w:p>
    <w:p w:rsidR="0042058C" w:rsidRPr="0042058C" w:rsidRDefault="0042058C" w:rsidP="00AC7BDA">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bookmarkStart w:id="112" w:name="Par298"/>
      <w:bookmarkEnd w:id="112"/>
    </w:p>
    <w:p w:rsidR="00AC7BDA" w:rsidRDefault="0042058C" w:rsidP="00AC7BDA">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AC7BDA">
        <w:rPr>
          <w:rFonts w:ascii="Times New Roman" w:eastAsia="Times New Roman" w:hAnsi="Times New Roman" w:cs="Times New Roman"/>
          <w:sz w:val="28"/>
          <w:szCs w:val="28"/>
          <w:lang w:eastAsia="ru-RU"/>
        </w:rPr>
        <w:t>г</w:t>
      </w:r>
      <w:r w:rsidRPr="0042058C">
        <w:rPr>
          <w:rFonts w:ascii="Times New Roman" w:eastAsia="Times New Roman" w:hAnsi="Times New Roman" w:cs="Times New Roman"/>
          <w:sz w:val="28"/>
          <w:szCs w:val="28"/>
          <w:lang w:eastAsia="ru-RU"/>
        </w:rPr>
        <w:t>енерально</w:t>
      </w:r>
      <w:r w:rsidR="00AC7BDA">
        <w:rPr>
          <w:rFonts w:ascii="Times New Roman" w:eastAsia="Times New Roman" w:hAnsi="Times New Roman" w:cs="Times New Roman"/>
          <w:sz w:val="28"/>
          <w:szCs w:val="28"/>
          <w:lang w:eastAsia="ru-RU"/>
        </w:rPr>
        <w:t>му</w:t>
      </w:r>
      <w:r w:rsidRPr="0042058C">
        <w:rPr>
          <w:rFonts w:ascii="Times New Roman" w:eastAsia="Times New Roman" w:hAnsi="Times New Roman" w:cs="Times New Roman"/>
          <w:sz w:val="28"/>
          <w:szCs w:val="28"/>
          <w:lang w:eastAsia="ru-RU"/>
        </w:rPr>
        <w:t xml:space="preserve"> план</w:t>
      </w:r>
      <w:r w:rsidR="00AC7BDA">
        <w:rPr>
          <w:rFonts w:ascii="Times New Roman" w:eastAsia="Times New Roman" w:hAnsi="Times New Roman" w:cs="Times New Roman"/>
          <w:sz w:val="28"/>
          <w:szCs w:val="28"/>
          <w:lang w:eastAsia="ru-RU"/>
        </w:rPr>
        <w:t>у</w:t>
      </w:r>
      <w:r w:rsidRPr="0042058C">
        <w:rPr>
          <w:rFonts w:ascii="Times New Roman" w:eastAsia="Times New Roman" w:hAnsi="Times New Roman" w:cs="Times New Roman"/>
          <w:sz w:val="28"/>
          <w:szCs w:val="28"/>
          <w:lang w:eastAsia="ru-RU"/>
        </w:rPr>
        <w:t xml:space="preserve">  </w:t>
      </w:r>
    </w:p>
    <w:p w:rsidR="0042058C" w:rsidRPr="0042058C" w:rsidRDefault="0042058C" w:rsidP="00AC7BDA">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AC7BDA">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AC7BDA" w:rsidP="00AC7BDA">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2058C" w:rsidRPr="0042058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15 февраля 2022 г.</w:t>
      </w:r>
      <w:r w:rsidR="0042058C" w:rsidRPr="0042058C">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ind w:firstLine="709"/>
        <w:jc w:val="both"/>
        <w:rPr>
          <w:rFonts w:ascii="Times New Roman" w:eastAsia="Times New Roman" w:hAnsi="Times New Roman" w:cs="Times New Roman"/>
          <w:noProof/>
          <w:sz w:val="28"/>
          <w:szCs w:val="28"/>
          <w:lang w:eastAsia="ru-RU"/>
        </w:rPr>
      </w:pPr>
      <w:bookmarkStart w:id="113" w:name="_GoBack"/>
      <w:bookmarkEnd w:id="113"/>
    </w:p>
    <w:p w:rsid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 xml:space="preserve">Перечень государственных программ, федеральных целевых программ </w:t>
      </w:r>
      <w:r w:rsidR="00D766F3" w:rsidRPr="00CD70A7">
        <w:rPr>
          <w:rFonts w:ascii="Times New Roman" w:eastAsia="Times New Roman" w:hAnsi="Times New Roman" w:cs="Times New Roman"/>
          <w:b/>
          <w:noProof/>
          <w:sz w:val="28"/>
          <w:szCs w:val="28"/>
          <w:lang w:eastAsia="ru-RU"/>
        </w:rPr>
        <w:t xml:space="preserve">                  </w:t>
      </w:r>
      <w:r w:rsidRPr="00CD70A7">
        <w:rPr>
          <w:rFonts w:ascii="Times New Roman" w:eastAsia="Times New Roman" w:hAnsi="Times New Roman" w:cs="Times New Roman"/>
          <w:b/>
          <w:noProof/>
          <w:sz w:val="28"/>
          <w:szCs w:val="28"/>
          <w:lang w:eastAsia="ru-RU"/>
        </w:rPr>
        <w:t xml:space="preserve">и национальных проектов Российской Федерации, использованных </w:t>
      </w:r>
    </w:p>
    <w:p w:rsidR="0042058C" w:rsidRP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при выполнении научно-исследовательской работы по разработке генерального плана Труновского муниципального округа Ставропольского края</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716"/>
        <w:gridCol w:w="3327"/>
        <w:gridCol w:w="1406"/>
        <w:gridCol w:w="3019"/>
      </w:tblGrid>
      <w:tr w:rsidR="0042058C" w:rsidRPr="0042058C" w:rsidTr="0042058C">
        <w:tc>
          <w:tcPr>
            <w:tcW w:w="895" w:type="pct"/>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Направление</w:t>
            </w:r>
          </w:p>
        </w:tc>
        <w:tc>
          <w:tcPr>
            <w:tcW w:w="1761" w:type="pct"/>
            <w:shd w:val="clear" w:color="auto" w:fill="FFFFFF"/>
            <w:vAlign w:val="center"/>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Наименование государственной программы РФ</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Период реализации, годы</w:t>
            </w:r>
          </w:p>
        </w:tc>
        <w:tc>
          <w:tcPr>
            <w:tcW w:w="1598" w:type="pct"/>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Цели и приоритеты госпрограмм по направлениям</w:t>
            </w:r>
          </w:p>
        </w:tc>
      </w:tr>
      <w:tr w:rsidR="0042058C" w:rsidRPr="0042058C" w:rsidTr="0042058C">
        <w:tc>
          <w:tcPr>
            <w:tcW w:w="895"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I. Новое качество жизни</w:t>
            </w: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14" w:name="dst100245"/>
            <w:bookmarkEnd w:id="114"/>
            <w:r w:rsidRPr="0042058C">
              <w:rPr>
                <w:rFonts w:ascii="Times New Roman" w:eastAsia="Times New Roman" w:hAnsi="Times New Roman" w:cs="Times New Roman"/>
                <w:sz w:val="20"/>
                <w:szCs w:val="20"/>
                <w:lang w:eastAsia="ar-SA"/>
              </w:rPr>
              <w:t>Развитие здравоохранения</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15" w:name="dst100246"/>
            <w:bookmarkEnd w:id="115"/>
            <w:r w:rsidRPr="0042058C">
              <w:rPr>
                <w:rFonts w:ascii="Times New Roman" w:eastAsia="Times New Roman" w:hAnsi="Times New Roman" w:cs="Times New Roman"/>
                <w:sz w:val="20"/>
                <w:szCs w:val="20"/>
                <w:lang w:eastAsia="ar-SA"/>
              </w:rPr>
              <w:t>2018 – 2024</w:t>
            </w:r>
          </w:p>
        </w:tc>
        <w:tc>
          <w:tcPr>
            <w:tcW w:w="1598"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Обеспечение доступности услуг образования и здравоохранения требуемого качества, необходимого уровня обеспеченности жильем, доступа к культурным благам, условий, позволяющих гражданам систематически заниматься физической культурой и спортом.</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Реализация социальной политики по поддержке уязвимых слоев населения и проведение политики, направленной на интеграцию мигрантов.</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Обеспечение высоких стандартов личной безопасности и экологической безопасности, повышение качества и результативности противодействия преступности в сфере незаконного оборота наркотиков</w:t>
            </w:r>
          </w:p>
        </w:tc>
        <w:bookmarkStart w:id="116" w:name="dst100247"/>
        <w:bookmarkEnd w:id="116"/>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17" w:name="dst100248"/>
            <w:bookmarkEnd w:id="117"/>
            <w:r w:rsidRPr="0042058C">
              <w:rPr>
                <w:rFonts w:ascii="Times New Roman" w:eastAsia="Times New Roman" w:hAnsi="Times New Roman" w:cs="Times New Roman"/>
                <w:sz w:val="20"/>
                <w:szCs w:val="20"/>
                <w:lang w:eastAsia="ar-SA"/>
              </w:rPr>
              <w:t>Развитие образования</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18" w:name="dst100249"/>
            <w:bookmarkEnd w:id="118"/>
            <w:r w:rsidRPr="0042058C">
              <w:rPr>
                <w:rFonts w:ascii="Times New Roman" w:eastAsia="Times New Roman" w:hAnsi="Times New Roman" w:cs="Times New Roman"/>
                <w:sz w:val="20"/>
                <w:szCs w:val="20"/>
                <w:lang w:eastAsia="ar-SA"/>
              </w:rPr>
              <w:t>2018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19" w:name="dst100250"/>
        <w:bookmarkEnd w:id="119"/>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20" w:name="dst100251"/>
            <w:bookmarkEnd w:id="120"/>
            <w:r w:rsidRPr="0042058C">
              <w:rPr>
                <w:rFonts w:ascii="Times New Roman" w:eastAsia="Times New Roman" w:hAnsi="Times New Roman" w:cs="Times New Roman"/>
                <w:sz w:val="20"/>
                <w:szCs w:val="20"/>
                <w:lang w:eastAsia="ar-SA"/>
              </w:rPr>
              <w:t>Социальная поддержка граждан</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21" w:name="dst100252"/>
            <w:bookmarkEnd w:id="121"/>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22" w:name="dst100253"/>
        <w:bookmarkEnd w:id="122"/>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23" w:name="dst100254"/>
            <w:bookmarkEnd w:id="123"/>
            <w:r w:rsidRPr="0042058C">
              <w:rPr>
                <w:rFonts w:ascii="Times New Roman" w:eastAsia="Times New Roman" w:hAnsi="Times New Roman" w:cs="Times New Roman"/>
                <w:sz w:val="20"/>
                <w:szCs w:val="20"/>
                <w:lang w:eastAsia="ar-SA"/>
              </w:rPr>
              <w:t>Доступная среда</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24" w:name="dst100255"/>
            <w:bookmarkEnd w:id="124"/>
            <w:r w:rsidRPr="0042058C">
              <w:rPr>
                <w:rFonts w:ascii="Times New Roman" w:eastAsia="Times New Roman" w:hAnsi="Times New Roman" w:cs="Times New Roman"/>
                <w:sz w:val="20"/>
                <w:szCs w:val="20"/>
                <w:lang w:eastAsia="ar-SA"/>
              </w:rPr>
              <w:t>2011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25" w:name="dst100256"/>
        <w:bookmarkEnd w:id="125"/>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26" w:name="dst100257"/>
            <w:bookmarkEnd w:id="126"/>
            <w:r w:rsidRPr="0042058C">
              <w:rPr>
                <w:rFonts w:ascii="Times New Roman" w:eastAsia="Times New Roman" w:hAnsi="Times New Roman" w:cs="Times New Roman"/>
                <w:sz w:val="20"/>
                <w:szCs w:val="20"/>
                <w:lang w:eastAsia="ar-SA"/>
              </w:rPr>
              <w:t>Обеспечение доступным и комфортным жильем и коммунальными услугами граждан Российской Федерации</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27" w:name="dst100258"/>
            <w:bookmarkEnd w:id="127"/>
            <w:r w:rsidRPr="0042058C">
              <w:rPr>
                <w:rFonts w:ascii="Times New Roman" w:eastAsia="Times New Roman" w:hAnsi="Times New Roman" w:cs="Times New Roman"/>
                <w:sz w:val="20"/>
                <w:szCs w:val="20"/>
                <w:lang w:eastAsia="ar-SA"/>
              </w:rPr>
              <w:t>2018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28" w:name="dst100259"/>
        <w:bookmarkEnd w:id="128"/>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29" w:name="dst100263"/>
            <w:bookmarkEnd w:id="129"/>
            <w:r w:rsidRPr="0042058C">
              <w:rPr>
                <w:rFonts w:ascii="Times New Roman" w:eastAsia="Times New Roman" w:hAnsi="Times New Roman" w:cs="Times New Roman"/>
                <w:sz w:val="20"/>
                <w:szCs w:val="20"/>
                <w:lang w:eastAsia="ar-SA"/>
              </w:rPr>
              <w:t>Содействие занятости населения</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30" w:name="dst100264"/>
            <w:bookmarkEnd w:id="130"/>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31" w:name="dst100265"/>
        <w:bookmarkEnd w:id="131"/>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32" w:name="dst100266"/>
            <w:bookmarkStart w:id="133" w:name="dst100385"/>
            <w:bookmarkEnd w:id="132"/>
            <w:bookmarkEnd w:id="133"/>
            <w:r w:rsidRPr="0042058C">
              <w:rPr>
                <w:rFonts w:ascii="Times New Roman" w:eastAsia="Times New Roman" w:hAnsi="Times New Roman" w:cs="Times New Roman"/>
                <w:sz w:val="20"/>
                <w:szCs w:val="20"/>
                <w:lang w:eastAsia="ar-SA"/>
              </w:rPr>
              <w:t>Развитие культуры</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34" w:name="dst100267"/>
            <w:bookmarkEnd w:id="134"/>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35" w:name="dst100268"/>
        <w:bookmarkEnd w:id="135"/>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36" w:name="dst100269"/>
            <w:bookmarkEnd w:id="136"/>
            <w:r w:rsidRPr="0042058C">
              <w:rPr>
                <w:rFonts w:ascii="Times New Roman" w:eastAsia="Times New Roman" w:hAnsi="Times New Roman" w:cs="Times New Roman"/>
                <w:sz w:val="20"/>
                <w:szCs w:val="20"/>
                <w:lang w:eastAsia="ar-SA"/>
              </w:rPr>
              <w:t>Охрана окружающей среды</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37" w:name="dst100270"/>
            <w:bookmarkEnd w:id="137"/>
            <w:r w:rsidRPr="0042058C">
              <w:rPr>
                <w:rFonts w:ascii="Times New Roman" w:eastAsia="Times New Roman" w:hAnsi="Times New Roman" w:cs="Times New Roman"/>
                <w:sz w:val="20"/>
                <w:szCs w:val="20"/>
                <w:lang w:eastAsia="ar-SA"/>
              </w:rPr>
              <w:t>2012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38" w:name="dst100271"/>
        <w:bookmarkEnd w:id="138"/>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39" w:name="dst100272"/>
            <w:bookmarkEnd w:id="139"/>
            <w:r w:rsidRPr="0042058C">
              <w:rPr>
                <w:rFonts w:ascii="Times New Roman" w:eastAsia="Times New Roman" w:hAnsi="Times New Roman" w:cs="Times New Roman"/>
                <w:sz w:val="20"/>
                <w:szCs w:val="20"/>
                <w:lang w:eastAsia="ar-SA"/>
              </w:rPr>
              <w:t>Развитие физической культуры и спорта</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40" w:name="dst100273"/>
            <w:bookmarkEnd w:id="140"/>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41" w:name="dst100274"/>
        <w:bookmarkEnd w:id="141"/>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hideMark/>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bookmarkStart w:id="142" w:name="dst100275"/>
            <w:bookmarkEnd w:id="142"/>
            <w:r w:rsidRPr="0042058C">
              <w:rPr>
                <w:rFonts w:ascii="Times New Roman" w:eastAsia="Times New Roman" w:hAnsi="Times New Roman" w:cs="Times New Roman"/>
                <w:sz w:val="20"/>
                <w:szCs w:val="20"/>
                <w:lang w:eastAsia="ar-SA"/>
              </w:rPr>
              <w:t>Реализация государственной национальной политики</w:t>
            </w:r>
          </w:p>
        </w:tc>
        <w:tc>
          <w:tcPr>
            <w:tcW w:w="746" w:type="pct"/>
            <w:shd w:val="clear" w:color="auto" w:fill="FFFFFF"/>
            <w:vAlign w:val="center"/>
            <w:hideMark/>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bookmarkStart w:id="143" w:name="dst100276"/>
            <w:bookmarkEnd w:id="143"/>
            <w:r w:rsidRPr="0042058C">
              <w:rPr>
                <w:rFonts w:ascii="Times New Roman" w:eastAsia="Times New Roman" w:hAnsi="Times New Roman" w:cs="Times New Roman"/>
                <w:sz w:val="20"/>
                <w:szCs w:val="20"/>
                <w:lang w:eastAsia="ar-SA"/>
              </w:rPr>
              <w:t>2017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bookmarkStart w:id="144" w:name="dst100277"/>
        <w:bookmarkEnd w:id="144"/>
      </w:tr>
      <w:tr w:rsidR="0042058C" w:rsidRPr="0042058C" w:rsidTr="0042058C">
        <w:tc>
          <w:tcPr>
            <w:tcW w:w="895" w:type="pct"/>
            <w:vMerge w:val="restart"/>
            <w:shd w:val="clear" w:color="auto" w:fill="FFFFFF"/>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II. Инновационное развитие и модернизация экономики</w:t>
            </w: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Научно-технологическое развитие Российской Федерации</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2019 – 2030</w:t>
            </w:r>
          </w:p>
        </w:tc>
        <w:tc>
          <w:tcPr>
            <w:tcW w:w="1598"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 xml:space="preserve">Реализация мероприятий, которые не только позволят российской экономике оставаться мировым лидером в энергетического секторе, добыче и переработке сырья, но и создадут конкурентоспособную экономику знаний и высоких технологий. </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Формирование условий для массового появления новых инновационных компаний во всех секторах экономики, и в первую очередь в сфере экономики знаний.</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Создание разветвленной транспортной сети, обеспечивающей высокий уровень межрегиональной интеграции и территориальной мобильности населения.</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Укрепление позиций России в интеграционных процессах на евразийском пространстве, как одного из центров мирохозяйственных связей, с поддержкой сбалансированных многовекторных экономических отношений с европейскими, азиатскими, американскими и африканскими экономическими партнерами.</w:t>
            </w: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Экономическое развитие и инновационная экономика</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промышленности и повышение ее конкурентоспособности</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2030</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оборонно-промышленного комплекса</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2016 – 2027</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электронной и радиоэлектронной промышленности</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фармацевтической и медицинской промышленности</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Информационное общество</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2011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транспортной системы</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2018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рыбохозяйственного комплекса</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Комплексное развитие сельских территорий</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2020 – 2025</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внешнеэкономической деятельности</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Воспроизводство и использование природных ресурсов</w:t>
            </w:r>
          </w:p>
        </w:tc>
        <w:tc>
          <w:tcPr>
            <w:tcW w:w="746" w:type="pct"/>
            <w:shd w:val="clear" w:color="auto" w:fill="FFFFFF"/>
            <w:vAlign w:val="center"/>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лесного хозяйства</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Развитие энергетики</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jc w:val="center"/>
              <w:rPr>
                <w:rFonts w:ascii="Times New Roman" w:eastAsia="Times New Roman" w:hAnsi="Times New Roman" w:cs="Times New Roman"/>
                <w:sz w:val="20"/>
                <w:szCs w:val="20"/>
                <w:lang w:eastAsia="ar-SA"/>
              </w:rPr>
            </w:pPr>
          </w:p>
        </w:tc>
      </w:tr>
      <w:tr w:rsidR="0042058C" w:rsidRPr="0042058C" w:rsidTr="0042058C">
        <w:tc>
          <w:tcPr>
            <w:tcW w:w="895" w:type="pct"/>
            <w:vMerge w:val="restart"/>
            <w:shd w:val="clear" w:color="auto" w:fill="FFFFFF"/>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III. Обеспечение национальной безопасности</w:t>
            </w: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Обеспечение обороноспособности страны</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2019 – 2025</w:t>
            </w:r>
          </w:p>
        </w:tc>
        <w:tc>
          <w:tcPr>
            <w:tcW w:w="1598" w:type="pct"/>
            <w:vMerge w:val="restart"/>
            <w:shd w:val="clear" w:color="auto" w:fill="FFFFFF"/>
            <w:vAlign w:val="center"/>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 xml:space="preserve">Обеспечение поддержания высокого уровня государственной безопасности и обороноспособности страны. </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Достижение высокого уровня боеспособности Вооруженных Сил Российской Федерации (соответствующего уровню ведущих в военном отношении стран), позволяющего эффективно осуществлять политику сдерживания, в том числе на основе экономического и социального развития военной организации государства.</w:t>
            </w: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Обеспечение государственной безопасности</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2012 – 2024</w:t>
            </w:r>
          </w:p>
          <w:p w:rsidR="0042058C" w:rsidRPr="0042058C" w:rsidRDefault="0042058C" w:rsidP="0042058C">
            <w:pPr>
              <w:spacing w:after="0" w:line="240" w:lineRule="auto"/>
              <w:jc w:val="center"/>
              <w:rPr>
                <w:rFonts w:ascii="Times New Roman" w:eastAsia="Calibri" w:hAnsi="Times New Roman" w:cs="Times New Roman"/>
                <w:sz w:val="20"/>
                <w:szCs w:val="20"/>
              </w:rPr>
            </w:pP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Обеспечение защиты личности, общества и государства</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2021 – 2027</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Защита населения и территорий от чрезвычайных ситуаций, обеспечение пожарной безопасности и безопасности людей на водных объектах</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2030</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Обеспечение общественного порядка и противодействие преступности</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Управление государственным материальным резервом</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2020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Обеспечение химической и биологической безопасности Российской Федерации</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2021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val="restart"/>
            <w:shd w:val="clear" w:color="auto" w:fill="FFFFFF"/>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IV. Сбалансированное региональное развитие</w:t>
            </w:r>
          </w:p>
          <w:p w:rsidR="0042058C" w:rsidRPr="0042058C" w:rsidRDefault="0042058C" w:rsidP="0042058C">
            <w:pPr>
              <w:widowControl w:val="0"/>
              <w:tabs>
                <w:tab w:val="left" w:pos="1134"/>
              </w:tabs>
              <w:suppressAutoHyphens/>
              <w:spacing w:after="0" w:line="240" w:lineRule="auto"/>
              <w:rPr>
                <w:rFonts w:ascii="Times New Roman" w:eastAsia="Calibri" w:hAnsi="Times New Roman" w:cs="Times New Roman"/>
                <w:sz w:val="20"/>
                <w:szCs w:val="20"/>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color w:val="404040"/>
                <w:sz w:val="20"/>
                <w:szCs w:val="20"/>
              </w:rPr>
            </w:pPr>
            <w:r w:rsidRPr="0042058C">
              <w:rPr>
                <w:rFonts w:ascii="Times New Roman" w:eastAsia="Calibri" w:hAnsi="Times New Roman" w:cs="Times New Roman"/>
                <w:color w:val="404040"/>
                <w:sz w:val="20"/>
                <w:szCs w:val="20"/>
              </w:rPr>
              <w:t>Развитие Северо-Кавказского федерального округа</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404040"/>
                <w:sz w:val="20"/>
                <w:szCs w:val="20"/>
              </w:rPr>
              <w:t>2013 – 2025</w:t>
            </w:r>
          </w:p>
        </w:tc>
        <w:tc>
          <w:tcPr>
            <w:tcW w:w="1598"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 xml:space="preserve">Обеспечение сбалансированного территориального развития Российской Федерации, ориентированного на обеспечение условий, позволяющих каждому региону иметь необходимые и достаточные ресурсы для обеспечения достойных условий жизни граждан, комплексного развития и повышения конкурентоспособности экономики, и развитие геополитически приоритетных территорий. </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Проведение целенаправленной работы по развитию федеративных отношений и совершенствованию системы местного самоуправления.</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Проведение в отношении регионов комплексных мер, направленных на выравнивание бюджетной обеспеченности субъектов Российской Федерации и повышение качества управления государственными финансами субъектов Российской Федерации и муниципальными финансами.</w:t>
            </w: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color w:val="404040"/>
                <w:sz w:val="20"/>
                <w:szCs w:val="20"/>
              </w:rPr>
            </w:pPr>
            <w:r w:rsidRPr="0042058C">
              <w:rPr>
                <w:rFonts w:ascii="Times New Roman" w:eastAsia="Calibri" w:hAnsi="Times New Roman" w:cs="Times New Roman"/>
                <w:color w:val="404040"/>
                <w:sz w:val="20"/>
                <w:szCs w:val="20"/>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color w:val="404040"/>
                <w:sz w:val="20"/>
                <w:szCs w:val="20"/>
              </w:rPr>
              <w:t>2013 – 2024</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p>
        </w:tc>
      </w:tr>
      <w:tr w:rsidR="0042058C" w:rsidRPr="0042058C" w:rsidTr="0042058C">
        <w:tc>
          <w:tcPr>
            <w:tcW w:w="895"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bCs/>
                <w:sz w:val="20"/>
                <w:szCs w:val="20"/>
                <w:lang w:eastAsia="ar-SA"/>
              </w:rPr>
              <w:t>V. Эффективное государство</w:t>
            </w: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Управление государственными финансами и регулирование финансовых рынков</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2024</w:t>
            </w:r>
          </w:p>
        </w:tc>
        <w:tc>
          <w:tcPr>
            <w:tcW w:w="1598" w:type="pct"/>
            <w:vMerge w:val="restart"/>
            <w:shd w:val="clear" w:color="auto" w:fill="FFFFFF"/>
          </w:tcPr>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 xml:space="preserve">Повышение эффективности управления государственным имуществом и государственными финансами. </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 xml:space="preserve">Развитие и повышение устойчивости функционирования финансовых и страховых рынков. </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Создание условий для формирования в России международного финансового центра.</w:t>
            </w:r>
          </w:p>
          <w:p w:rsidR="0042058C" w:rsidRPr="0042058C" w:rsidRDefault="0042058C" w:rsidP="0042058C">
            <w:pPr>
              <w:widowControl w:val="0"/>
              <w:tabs>
                <w:tab w:val="left" w:pos="1134"/>
              </w:tabs>
              <w:suppressAutoHyphens/>
              <w:spacing w:after="0" w:line="240" w:lineRule="auto"/>
              <w:rPr>
                <w:rFonts w:ascii="Times New Roman" w:eastAsia="Times New Roman" w:hAnsi="Times New Roman" w:cs="Times New Roman"/>
                <w:sz w:val="20"/>
                <w:szCs w:val="20"/>
                <w:lang w:eastAsia="ar-SA"/>
              </w:rPr>
            </w:pPr>
            <w:r w:rsidRPr="0042058C">
              <w:rPr>
                <w:rFonts w:ascii="Times New Roman" w:eastAsia="Times New Roman" w:hAnsi="Times New Roman" w:cs="Times New Roman"/>
                <w:sz w:val="20"/>
                <w:szCs w:val="20"/>
                <w:lang w:eastAsia="ar-SA"/>
              </w:rPr>
              <w:t>Реализация комплекса мер по всестороннему и эффективному обеспечению интересов Российской Федерации на международной арене, созданию благоприятных внешних условий для долгосрочного развития страны.</w:t>
            </w: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Arial Narrow" w:eastAsia="Times New Roman" w:hAnsi="Arial Narrow" w:cs="Arial"/>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Внешнеполитическая деятельность</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2030</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Arial Narrow" w:eastAsia="Times New Roman" w:hAnsi="Arial Narrow" w:cs="Arial"/>
                <w:sz w:val="20"/>
                <w:szCs w:val="20"/>
                <w:lang w:eastAsia="ar-SA"/>
              </w:rPr>
            </w:pPr>
          </w:p>
        </w:tc>
      </w:tr>
      <w:tr w:rsidR="0042058C" w:rsidRPr="0042058C" w:rsidTr="0042058C">
        <w:tc>
          <w:tcPr>
            <w:tcW w:w="895" w:type="pct"/>
            <w:vMerge/>
            <w:shd w:val="clear" w:color="auto" w:fill="FFFFFF"/>
          </w:tcPr>
          <w:p w:rsidR="0042058C" w:rsidRPr="0042058C" w:rsidRDefault="0042058C" w:rsidP="0042058C">
            <w:pPr>
              <w:widowControl w:val="0"/>
              <w:tabs>
                <w:tab w:val="left" w:pos="1134"/>
              </w:tabs>
              <w:suppressAutoHyphens/>
              <w:spacing w:after="0" w:line="240" w:lineRule="auto"/>
              <w:rPr>
                <w:rFonts w:ascii="Arial Narrow" w:eastAsia="Times New Roman" w:hAnsi="Arial Narrow" w:cs="Arial"/>
                <w:sz w:val="20"/>
                <w:szCs w:val="20"/>
                <w:lang w:eastAsia="ar-SA"/>
              </w:rPr>
            </w:pPr>
          </w:p>
        </w:tc>
        <w:tc>
          <w:tcPr>
            <w:tcW w:w="1761" w:type="pct"/>
            <w:shd w:val="clear" w:color="auto" w:fill="FFFFFF"/>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Юстиция</w:t>
            </w:r>
          </w:p>
        </w:tc>
        <w:tc>
          <w:tcPr>
            <w:tcW w:w="746" w:type="pct"/>
            <w:shd w:val="clear" w:color="auto" w:fill="FFFFFF"/>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2013 – 2026</w:t>
            </w:r>
          </w:p>
        </w:tc>
        <w:tc>
          <w:tcPr>
            <w:tcW w:w="1598" w:type="pct"/>
            <w:vMerge/>
            <w:shd w:val="clear" w:color="auto" w:fill="FFFFFF"/>
          </w:tcPr>
          <w:p w:rsidR="0042058C" w:rsidRPr="0042058C" w:rsidRDefault="0042058C" w:rsidP="0042058C">
            <w:pPr>
              <w:widowControl w:val="0"/>
              <w:tabs>
                <w:tab w:val="left" w:pos="1134"/>
              </w:tabs>
              <w:suppressAutoHyphens/>
              <w:spacing w:after="0" w:line="240" w:lineRule="auto"/>
              <w:rPr>
                <w:rFonts w:ascii="Arial Narrow" w:eastAsia="Times New Roman" w:hAnsi="Arial Narrow" w:cs="Arial"/>
                <w:sz w:val="20"/>
                <w:szCs w:val="20"/>
                <w:lang w:eastAsia="ar-SA"/>
              </w:rPr>
            </w:pP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776CAD">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2</w:t>
      </w:r>
    </w:p>
    <w:p w:rsidR="0042058C" w:rsidRPr="0042058C" w:rsidRDefault="0042058C" w:rsidP="00776CAD">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p>
    <w:p w:rsidR="00776CAD"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E3531F" w:rsidRPr="00E3531F">
        <w:rPr>
          <w:rFonts w:ascii="Times New Roman" w:eastAsia="Times New Roman" w:hAnsi="Times New Roman" w:cs="Times New Roman"/>
          <w:sz w:val="28"/>
          <w:szCs w:val="28"/>
          <w:lang w:eastAsia="ru-RU"/>
        </w:rPr>
        <w:t>генерально</w:t>
      </w:r>
      <w:r w:rsidR="00776CAD">
        <w:rPr>
          <w:rFonts w:ascii="Times New Roman" w:eastAsia="Times New Roman" w:hAnsi="Times New Roman" w:cs="Times New Roman"/>
          <w:sz w:val="28"/>
          <w:szCs w:val="28"/>
          <w:lang w:eastAsia="ru-RU"/>
        </w:rPr>
        <w:t>му</w:t>
      </w:r>
      <w:r w:rsidR="00E3531F" w:rsidRPr="00E3531F">
        <w:rPr>
          <w:rFonts w:ascii="Times New Roman" w:eastAsia="Times New Roman" w:hAnsi="Times New Roman" w:cs="Times New Roman"/>
          <w:sz w:val="28"/>
          <w:szCs w:val="28"/>
          <w:lang w:eastAsia="ru-RU"/>
        </w:rPr>
        <w:t xml:space="preserve"> план</w:t>
      </w:r>
      <w:r w:rsidR="00776CAD">
        <w:rPr>
          <w:rFonts w:ascii="Times New Roman" w:eastAsia="Times New Roman" w:hAnsi="Times New Roman" w:cs="Times New Roman"/>
          <w:sz w:val="28"/>
          <w:szCs w:val="28"/>
          <w:lang w:eastAsia="ru-RU"/>
        </w:rPr>
        <w:t>у</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от </w:t>
      </w:r>
      <w:r w:rsidR="00776CAD">
        <w:rPr>
          <w:rFonts w:ascii="Times New Roman" w:eastAsia="Times New Roman" w:hAnsi="Times New Roman" w:cs="Times New Roman"/>
          <w:sz w:val="28"/>
          <w:szCs w:val="28"/>
          <w:lang w:eastAsia="ru-RU"/>
        </w:rPr>
        <w:t>15 февраля 2022 г.</w:t>
      </w:r>
      <w:r w:rsidRPr="0042058C">
        <w:rPr>
          <w:rFonts w:ascii="Times New Roman" w:eastAsia="Times New Roman" w:hAnsi="Times New Roman" w:cs="Times New Roman"/>
          <w:sz w:val="28"/>
          <w:szCs w:val="28"/>
          <w:lang w:eastAsia="ru-RU"/>
        </w:rPr>
        <w:t xml:space="preserve">  № </w:t>
      </w:r>
      <w:r w:rsidR="00776CAD">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r w:rsidRPr="00CD70A7">
        <w:rPr>
          <w:rFonts w:ascii="Times New Roman" w:eastAsia="Times New Roman" w:hAnsi="Times New Roman" w:cs="Times New Roman"/>
          <w:b/>
          <w:noProof/>
          <w:sz w:val="28"/>
          <w:szCs w:val="28"/>
          <w:lang w:eastAsia="ru-RU"/>
        </w:rPr>
        <w:t>Перечень государственных программ Ставропольского края</w:t>
      </w:r>
      <w:r w:rsidRPr="0042058C">
        <w:rPr>
          <w:rFonts w:ascii="Times New Roman" w:eastAsia="Times New Roman" w:hAnsi="Times New Roman" w:cs="Times New Roman"/>
          <w:noProof/>
          <w:sz w:val="28"/>
          <w:szCs w:val="28"/>
          <w:vertAlign w:val="superscript"/>
          <w:lang w:eastAsia="ru-RU"/>
        </w:rPr>
        <w:footnoteReference w:id="105"/>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53"/>
        <w:gridCol w:w="2937"/>
        <w:gridCol w:w="2939"/>
        <w:gridCol w:w="2939"/>
      </w:tblGrid>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bdr w:val="none" w:sz="0" w:space="0" w:color="auto" w:frame="1"/>
                <w:lang w:eastAsia="ru-RU"/>
              </w:rPr>
              <w:t>№</w:t>
            </w:r>
            <w:r w:rsidRPr="0042058C">
              <w:rPr>
                <w:rFonts w:ascii="Times New Roman" w:eastAsia="Times New Roman" w:hAnsi="Times New Roman" w:cs="Times New Roman"/>
                <w:bCs/>
                <w:sz w:val="20"/>
                <w:szCs w:val="20"/>
                <w:bdr w:val="none" w:sz="0" w:space="0" w:color="auto" w:frame="1"/>
                <w:lang w:eastAsia="ru-RU"/>
              </w:rPr>
              <w:br/>
              <w:t> п/п</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bdr w:val="none" w:sz="0" w:space="0" w:color="auto" w:frame="1"/>
                <w:lang w:eastAsia="ru-RU"/>
              </w:rPr>
              <w:t>Наименование государственной программы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bdr w:val="none" w:sz="0" w:space="0" w:color="auto" w:frame="1"/>
                <w:lang w:eastAsia="ru-RU"/>
              </w:rPr>
              <w:t>Ответственный исполнитель государственной программы Ставропольского края / государственный заказчик ведомственной целевой программы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bCs/>
                <w:sz w:val="20"/>
                <w:szCs w:val="20"/>
                <w:bdr w:val="none" w:sz="0" w:space="0" w:color="auto" w:frame="1"/>
                <w:lang w:eastAsia="ru-RU"/>
              </w:rPr>
              <w:t>Нормативный правовой акт об утверждении</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сельского хозяйства»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сельского хозяйства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620-</w:t>
            </w:r>
            <w:hyperlink r:id="rId52" w:history="1">
              <w:r w:rsidRPr="0042058C">
                <w:rPr>
                  <w:rFonts w:ascii="Times New Roman" w:eastAsia="Times New Roman" w:hAnsi="Times New Roman" w:cs="Times New Roman"/>
                  <w:sz w:val="20"/>
                  <w:szCs w:val="20"/>
                  <w:bdr w:val="none" w:sz="0" w:space="0" w:color="auto" w:frame="1"/>
                  <w:lang w:eastAsia="ru-RU"/>
                </w:rPr>
                <w:t>п</w:t>
              </w:r>
            </w:hyperlink>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«Профилактика, лечения и предупреждение болезней животных»</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Управление ветеринарии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26 декабря 2018 г. № 604-п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«Сохранение и развитие культуры»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культуры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24 декабря 2018 г. № 592-п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4</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сферы труда и занятости населения»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труда и социальной защиты населения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612-п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5</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образования»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образования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628-п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6</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«Управление финансами»</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финансов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26 декабря 2018 г. № 598-п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7</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«Управление имуществом»</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имущественных отношений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622-п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8</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«Социальная поддержка граждан»</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труда и социальной защиты населения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14 декабря 2018 г. № 568-п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9</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физической культуры и спорта»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физической культуры и спорта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619-п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«Экономическое развитие и инновационная экономика»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экономического развития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776CAD" w:rsidP="0042058C">
            <w:pPr>
              <w:spacing w:after="0" w:line="240" w:lineRule="auto"/>
              <w:rPr>
                <w:rFonts w:ascii="Times New Roman" w:eastAsia="Times New Roman" w:hAnsi="Times New Roman" w:cs="Times New Roman"/>
                <w:sz w:val="20"/>
                <w:szCs w:val="20"/>
                <w:lang w:eastAsia="ru-RU"/>
              </w:rPr>
            </w:pPr>
            <w:hyperlink r:id="rId53" w:history="1">
              <w:r w:rsidR="0042058C"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626-</w:t>
              </w:r>
            </w:hyperlink>
            <w:hyperlink r:id="rId54" w:history="1">
              <w:r w:rsidR="0042058C" w:rsidRPr="0042058C">
                <w:rPr>
                  <w:rFonts w:ascii="Times New Roman" w:eastAsia="Times New Roman" w:hAnsi="Times New Roman" w:cs="Times New Roman"/>
                  <w:sz w:val="20"/>
                  <w:szCs w:val="20"/>
                  <w:bdr w:val="none" w:sz="0" w:space="0" w:color="auto" w:frame="1"/>
                  <w:lang w:eastAsia="ru-RU"/>
                </w:rPr>
                <w:t>п</w:t>
              </w:r>
            </w:hyperlink>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пищевой и перерабатывающей промышленности, потребительского рынка»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Комитет Ставропольского края по пищевой и перерабатывающей промышленности, торговле и лицензированию</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610-п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энергетики, промышленности и связи»</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энергетики, промышленности и связи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616-п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здравоохранения»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здравоохранения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24 декабря 2018 г. № 582-п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жилищно-коммунального хозяйства, защита населения и территории от чрезвычайных ситуаций»</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строительства, архитектуры и жилищно-коммунального хозяйства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627-п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транспортной системы»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624-п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«Межнациональные отношения, профилактика терроризма и поддержка казачества»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Комитет Ставропольского края по делам национальностей и казачества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623-п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«Молодежная политика»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Управление по молодежной политики аппарата Правительства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615-п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«Развитие градостроительства, строительства и архитектуры»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строительства и архитектуры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29 декабря 2018 г. № 625-п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«Охрана окружающей среды»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природных ресурсов и охраны окружающей среды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26 декабря 2018 г. № 599-п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«Формирование современной городской среды»</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23 августа 2017 г. № 332-п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«Профилактика правонарушений и обеспечение общественного порядка»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Комитет Ставропольского края по делам национальностей и казачества</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2017 г. № 560-п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«Туристско-рекреационный комплекс»</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туризма и оздоровительных курортов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26 декабря 2018 г. № 597-п</w:t>
            </w:r>
          </w:p>
        </w:tc>
      </w:tr>
      <w:tr w:rsidR="0042058C" w:rsidRPr="0042058C" w:rsidTr="0042058C">
        <w:tc>
          <w:tcPr>
            <w:tcW w:w="345"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w:t>
            </w:r>
          </w:p>
        </w:tc>
        <w:tc>
          <w:tcPr>
            <w:tcW w:w="1551"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«Повышение безопасности дорожного движения»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Министерство дорожного хозяйства и транспорта Ставропольского края</w:t>
            </w:r>
          </w:p>
        </w:tc>
        <w:tc>
          <w:tcPr>
            <w:tcW w:w="1552" w:type="pct"/>
            <w:shd w:val="clear" w:color="auto" w:fill="auto"/>
            <w:tcMar>
              <w:top w:w="57" w:type="dxa"/>
              <w:left w:w="57" w:type="dxa"/>
              <w:bottom w:w="57" w:type="dxa"/>
              <w:right w:w="57" w:type="dxa"/>
            </w:tcMar>
            <w:vAlign w:val="center"/>
            <w:hideMark/>
          </w:tcPr>
          <w:p w:rsidR="0042058C" w:rsidRPr="0042058C" w:rsidRDefault="0042058C" w:rsidP="0042058C">
            <w:pPr>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bdr w:val="none" w:sz="0" w:space="0" w:color="auto" w:frame="1"/>
                <w:lang w:eastAsia="ru-RU"/>
              </w:rPr>
              <w:t>Постановление Правительства Ставропольского края от 28 декабря 2018 г. № 611-п</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D910A1" w:rsidRDefault="0042058C"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 </w:t>
      </w:r>
    </w:p>
    <w:p w:rsidR="0042058C" w:rsidRPr="0042058C" w:rsidRDefault="0042058C" w:rsidP="00776CAD">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3</w:t>
      </w:r>
    </w:p>
    <w:p w:rsidR="0042058C" w:rsidRPr="0042058C" w:rsidRDefault="0042058C" w:rsidP="00776CAD">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p>
    <w:p w:rsidR="00776CAD"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D910A1" w:rsidRPr="00D910A1">
        <w:rPr>
          <w:rFonts w:ascii="Times New Roman" w:eastAsia="Times New Roman" w:hAnsi="Times New Roman" w:cs="Times New Roman"/>
          <w:sz w:val="28"/>
          <w:szCs w:val="28"/>
          <w:lang w:eastAsia="ru-RU"/>
        </w:rPr>
        <w:t>генерально</w:t>
      </w:r>
      <w:r w:rsidR="00776CAD">
        <w:rPr>
          <w:rFonts w:ascii="Times New Roman" w:eastAsia="Times New Roman" w:hAnsi="Times New Roman" w:cs="Times New Roman"/>
          <w:sz w:val="28"/>
          <w:szCs w:val="28"/>
          <w:lang w:eastAsia="ru-RU"/>
        </w:rPr>
        <w:t>му</w:t>
      </w:r>
      <w:r w:rsidR="00D910A1" w:rsidRPr="00D910A1">
        <w:rPr>
          <w:rFonts w:ascii="Times New Roman" w:eastAsia="Times New Roman" w:hAnsi="Times New Roman" w:cs="Times New Roman"/>
          <w:sz w:val="28"/>
          <w:szCs w:val="28"/>
          <w:lang w:eastAsia="ru-RU"/>
        </w:rPr>
        <w:t xml:space="preserve"> план</w:t>
      </w:r>
      <w:r w:rsidR="00776CAD">
        <w:rPr>
          <w:rFonts w:ascii="Times New Roman" w:eastAsia="Times New Roman" w:hAnsi="Times New Roman" w:cs="Times New Roman"/>
          <w:sz w:val="28"/>
          <w:szCs w:val="28"/>
          <w:lang w:eastAsia="ru-RU"/>
        </w:rPr>
        <w:t>у</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от </w:t>
      </w:r>
      <w:r w:rsidR="00776CAD">
        <w:rPr>
          <w:rFonts w:ascii="Times New Roman" w:eastAsia="Times New Roman" w:hAnsi="Times New Roman" w:cs="Times New Roman"/>
          <w:sz w:val="28"/>
          <w:szCs w:val="28"/>
          <w:lang w:eastAsia="ru-RU"/>
        </w:rPr>
        <w:t>15 февраля</w:t>
      </w:r>
      <w:r w:rsidRPr="0042058C">
        <w:rPr>
          <w:rFonts w:ascii="Times New Roman" w:eastAsia="Times New Roman" w:hAnsi="Times New Roman" w:cs="Times New Roman"/>
          <w:sz w:val="28"/>
          <w:szCs w:val="28"/>
          <w:lang w:eastAsia="ru-RU"/>
        </w:rPr>
        <w:t xml:space="preserve"> </w:t>
      </w:r>
      <w:r w:rsidR="00776CAD">
        <w:rPr>
          <w:rFonts w:ascii="Times New Roman" w:eastAsia="Times New Roman" w:hAnsi="Times New Roman" w:cs="Times New Roman"/>
          <w:sz w:val="28"/>
          <w:szCs w:val="28"/>
          <w:lang w:eastAsia="ru-RU"/>
        </w:rPr>
        <w:t>2022 г.</w:t>
      </w:r>
      <w:r w:rsidRPr="0042058C">
        <w:rPr>
          <w:rFonts w:ascii="Times New Roman" w:eastAsia="Times New Roman" w:hAnsi="Times New Roman" w:cs="Times New Roman"/>
          <w:sz w:val="28"/>
          <w:szCs w:val="28"/>
          <w:lang w:eastAsia="ru-RU"/>
        </w:rPr>
        <w:t xml:space="preserve">  № </w:t>
      </w:r>
      <w:r w:rsidR="00776CAD">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Памятники культуры и истории регионального значения, расположенные на территории Труновского муниципального округа</w:t>
      </w:r>
      <w:r w:rsidR="00D766F3" w:rsidRPr="00CD70A7">
        <w:rPr>
          <w:rFonts w:ascii="Times New Roman" w:eastAsia="Times New Roman" w:hAnsi="Times New Roman" w:cs="Times New Roman"/>
          <w:b/>
          <w:noProof/>
          <w:sz w:val="28"/>
          <w:szCs w:val="28"/>
          <w:lang w:eastAsia="ru-RU"/>
        </w:rPr>
        <w:t xml:space="preserve"> Ставропольского края</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CellMar>
          <w:left w:w="57" w:type="dxa"/>
          <w:right w:w="57" w:type="dxa"/>
        </w:tblCellMar>
        <w:tblLook w:val="0000" w:firstRow="0" w:lastRow="0" w:firstColumn="0" w:lastColumn="0" w:noHBand="0" w:noVBand="0"/>
      </w:tblPr>
      <w:tblGrid>
        <w:gridCol w:w="407"/>
        <w:gridCol w:w="3319"/>
        <w:gridCol w:w="19"/>
        <w:gridCol w:w="1068"/>
        <w:gridCol w:w="2210"/>
        <w:gridCol w:w="2445"/>
      </w:tblGrid>
      <w:tr w:rsidR="0042058C" w:rsidRPr="0042058C" w:rsidTr="0042058C">
        <w:trPr>
          <w:cantSplit/>
          <w:trHeight w:val="600"/>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w:t>
            </w:r>
            <w:r w:rsidRPr="0042058C">
              <w:rPr>
                <w:rFonts w:ascii="Times New Roman" w:eastAsia="Times New Roman" w:hAnsi="Times New Roman" w:cs="Times New Roman"/>
                <w:sz w:val="20"/>
                <w:szCs w:val="20"/>
                <w:lang w:eastAsia="ru-RU"/>
              </w:rPr>
              <w:br/>
              <w:t>п/п</w:t>
            </w:r>
          </w:p>
        </w:tc>
        <w:tc>
          <w:tcPr>
            <w:tcW w:w="1753"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Наименование </w:t>
            </w:r>
            <w:r w:rsidRPr="0042058C">
              <w:rPr>
                <w:rFonts w:ascii="Times New Roman" w:eastAsia="Times New Roman" w:hAnsi="Times New Roman" w:cs="Times New Roman"/>
                <w:sz w:val="20"/>
                <w:szCs w:val="20"/>
                <w:lang w:eastAsia="ru-RU"/>
              </w:rPr>
              <w:br/>
              <w:t>памятника</w:t>
            </w:r>
          </w:p>
        </w:tc>
        <w:tc>
          <w:tcPr>
            <w:tcW w:w="574" w:type="pct"/>
            <w:gridSpan w:val="2"/>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Датировка </w:t>
            </w:r>
            <w:r w:rsidRPr="0042058C">
              <w:rPr>
                <w:rFonts w:ascii="Times New Roman" w:eastAsia="Times New Roman" w:hAnsi="Times New Roman" w:cs="Times New Roman"/>
                <w:sz w:val="20"/>
                <w:szCs w:val="20"/>
                <w:lang w:eastAsia="ru-RU"/>
              </w:rPr>
              <w:br/>
              <w:t>памятника</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Балансовая </w:t>
            </w:r>
            <w:r w:rsidRPr="0042058C">
              <w:rPr>
                <w:rFonts w:ascii="Times New Roman" w:eastAsia="Times New Roman" w:hAnsi="Times New Roman" w:cs="Times New Roman"/>
                <w:sz w:val="20"/>
                <w:szCs w:val="20"/>
                <w:lang w:eastAsia="ru-RU"/>
              </w:rPr>
              <w:br/>
              <w:t>принадлежность</w:t>
            </w:r>
          </w:p>
        </w:tc>
        <w:tc>
          <w:tcPr>
            <w:tcW w:w="1291"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Местонахождение</w:t>
            </w:r>
          </w:p>
        </w:tc>
      </w:tr>
      <w:tr w:rsidR="0042058C" w:rsidRPr="0042058C" w:rsidTr="0042058C">
        <w:trPr>
          <w:cantSplit/>
          <w:trHeight w:val="240"/>
        </w:trPr>
        <w:tc>
          <w:tcPr>
            <w:tcW w:w="5000" w:type="pct"/>
            <w:gridSpan w:val="6"/>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Памятники истории</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Памятный знак "Здесь проходил почтовый тракт"</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1977 г. 25 октября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Коммунхоз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2.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Памятный знак "Здесь располагается Юго-западный угол земляного вала Донской крепости", заложенной в 1977 г.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1977 г. 25 октября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Коммунхоз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3.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Братская могила мирных советских жителей, расстрелянных в 1942 – 1943 гг.</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Коммунхоз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парк культуры и отдыха </w:t>
            </w:r>
          </w:p>
        </w:tc>
      </w:tr>
      <w:tr w:rsidR="0042058C" w:rsidRPr="0042058C" w:rsidTr="0042058C">
        <w:trPr>
          <w:cantSplit/>
          <w:trHeight w:val="67"/>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4.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воинов Советской Армии, погибших в 1942 – 1943 гг.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с-з "Донской"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у въезда со стороны г. Изобильного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5.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красных партизан, погибших в годы гражданской войны и воинов, погибших в годы Великой Отечественной войны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1918, 1943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Ворошилова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ул. Ленина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6.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Могила неизвестного воина Советской Армии, погибшего в 1943 году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Ворошилова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Безопасное, ул. Октябрьская</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7.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советских воинов, погибших в 1942 году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1942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Ворошилова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у сельской больницы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8.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7 воинов, погибших в 1942 – 1943 гг.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1942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кладбище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9. </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Братская могила красных партизан и семей первых колхозников, погибших в годы гражданской войны и коллективизации</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1919, 1929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Ворошилова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кладбище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10.</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Обелиск на месте расправы белогвардейцев над мирными жителями в период гражданской войны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1965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М. Горького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курган у кирпичного завода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11.</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Памятный знак в честь основания совхоза им. Кирова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1975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с-з им. Кирова</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 им. Кирова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12.</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воинов Советской Армии, погибшихв 1942 – 1943 гг.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Калинина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Новая Кугульта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13.</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Братская могила 3 активистов, погибших в период коллективизации</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1929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к-з им. Ленина</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Подлесное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14.</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Могила лейтенанта И.П.Акулова, погибшего в 1943 году при освобождении хутора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с-з "Ташлянский"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Подлесное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15.</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красных партизан, погибших в годы гражданской войны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1919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С-з "Майский"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Труновское, у Дома культуры</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16.</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88 красных партизан, погибших в годы гражданской войны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1919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с-з "Майский"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17.</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красных партизан и воинов Советской Армии, погибших в гражданскую и Великую Отечественную войну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1919, 1943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"Родина"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на кладбище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w:t>
            </w:r>
          </w:p>
        </w:tc>
        <w:tc>
          <w:tcPr>
            <w:tcW w:w="1763"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Могила ветерана колхозного движения Чередниченко Е.Г. </w:t>
            </w:r>
          </w:p>
        </w:tc>
        <w:tc>
          <w:tcPr>
            <w:tcW w:w="564"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1967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Безопасненский сельсовет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х. Эммануиловский </w:t>
            </w:r>
          </w:p>
        </w:tc>
      </w:tr>
      <w:tr w:rsidR="0042058C" w:rsidRPr="0042058C" w:rsidTr="0042058C">
        <w:trPr>
          <w:cantSplit/>
          <w:trHeight w:val="240"/>
        </w:trPr>
        <w:tc>
          <w:tcPr>
            <w:tcW w:w="5000" w:type="pct"/>
            <w:gridSpan w:val="6"/>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Памятники искусства</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19.</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Братская могила воинов Советской Армии, погибших в Великую Отечественную войну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с-з Ташлянский"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у Дома культуры "Спутник"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20.</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1970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школа N 6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Донское, школа N 6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21.</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1947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Ворошилова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Безопасное, центр, площадь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22.</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1950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им. М. Горького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Безопасное, усадьба колхоза им. М. Горького</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23.</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офицеру Советской Армии Кутузову, погибшему в годы Великой Отечественной войны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1955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"Родина"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х. Деревянкин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24.</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погибшим в годы Великой Отечественной войны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1974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с/совет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 им. Кирова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25.</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С.М. Кирову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1954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с-з им. Кирова</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 им. Кирова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26.</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1967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к-з им. Ленина</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Подлесное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27.</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1965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Труновский с/совет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городок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28.</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В.И. Ленину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1955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Труновский с/совет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парк культуры и отдыха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29.</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Памятник К.А. Трунову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1962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с/совет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парк культуры и отдыха </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30.</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Обелиск погибшим в годы Великой Отечественной войны </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1955 </w:t>
            </w:r>
          </w:p>
        </w:tc>
        <w:tc>
          <w:tcPr>
            <w:tcW w:w="1167"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к-з "Родина" </w:t>
            </w: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 xml:space="preserve">с. Труновское, бригада к-за "Родина" </w:t>
            </w:r>
          </w:p>
        </w:tc>
      </w:tr>
      <w:tr w:rsidR="0042058C" w:rsidRPr="0042058C" w:rsidTr="0042058C">
        <w:trPr>
          <w:cantSplit/>
          <w:trHeight w:val="53"/>
        </w:trPr>
        <w:tc>
          <w:tcPr>
            <w:tcW w:w="5000" w:type="pct"/>
            <w:gridSpan w:val="6"/>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Памятники градостроительства и архитектуры</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31.</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Троицкая церковь</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1895</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Донское</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32.</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Свято-Дмитриевская церковь</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1832</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Безопасное</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33.</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Церковь Серафима Саровского</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1886</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Труновское</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34.</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Свято-Троицкая церковь</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1894</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Труновское</w:t>
            </w:r>
          </w:p>
        </w:tc>
      </w:tr>
      <w:tr w:rsidR="0042058C" w:rsidRPr="0042058C" w:rsidTr="0042058C">
        <w:trPr>
          <w:cantSplit/>
          <w:trHeight w:val="53"/>
        </w:trPr>
        <w:tc>
          <w:tcPr>
            <w:tcW w:w="215"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35.</w:t>
            </w:r>
          </w:p>
        </w:tc>
        <w:tc>
          <w:tcPr>
            <w:tcW w:w="1753"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Церковь Покрова Пресвятой Богородицы</w:t>
            </w:r>
          </w:p>
        </w:tc>
        <w:tc>
          <w:tcPr>
            <w:tcW w:w="574" w:type="pct"/>
            <w:gridSpan w:val="2"/>
            <w:tcBorders>
              <w:top w:val="single" w:sz="6" w:space="0" w:color="auto"/>
              <w:left w:val="single" w:sz="6" w:space="0" w:color="auto"/>
              <w:bottom w:val="single" w:sz="6" w:space="0" w:color="auto"/>
              <w:right w:val="single" w:sz="6" w:space="0" w:color="auto"/>
            </w:tcBorders>
          </w:tcPr>
          <w:p w:rsidR="0042058C" w:rsidRPr="0042058C" w:rsidRDefault="0042058C" w:rsidP="0042058C">
            <w:pPr>
              <w:autoSpaceDE w:val="0"/>
              <w:autoSpaceDN w:val="0"/>
              <w:spacing w:after="0" w:line="240" w:lineRule="auto"/>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1896</w:t>
            </w:r>
          </w:p>
        </w:tc>
        <w:tc>
          <w:tcPr>
            <w:tcW w:w="1167" w:type="pct"/>
            <w:tcBorders>
              <w:top w:val="single" w:sz="6" w:space="0" w:color="auto"/>
              <w:left w:val="single" w:sz="6" w:space="0" w:color="auto"/>
              <w:bottom w:val="single" w:sz="6" w:space="0" w:color="auto"/>
              <w:right w:val="single" w:sz="6" w:space="0" w:color="auto"/>
            </w:tcBorders>
            <w:vAlign w:val="center"/>
          </w:tcPr>
          <w:p w:rsidR="0042058C" w:rsidRPr="0042058C" w:rsidRDefault="0042058C" w:rsidP="0042058C">
            <w:pPr>
              <w:autoSpaceDE w:val="0"/>
              <w:autoSpaceDN w:val="0"/>
              <w:spacing w:after="0" w:line="240" w:lineRule="auto"/>
              <w:jc w:val="center"/>
              <w:rPr>
                <w:rFonts w:ascii="Times New Roman" w:eastAsia="Times New Roman" w:hAnsi="Times New Roman" w:cs="Times New Roman"/>
                <w:sz w:val="20"/>
                <w:szCs w:val="20"/>
                <w:lang w:eastAsia="ru-RU"/>
              </w:rPr>
            </w:pPr>
          </w:p>
        </w:tc>
        <w:tc>
          <w:tcPr>
            <w:tcW w:w="1291" w:type="pct"/>
            <w:tcBorders>
              <w:top w:val="single" w:sz="6" w:space="0" w:color="auto"/>
              <w:left w:val="single" w:sz="6" w:space="0" w:color="auto"/>
              <w:bottom w:val="single" w:sz="6" w:space="0" w:color="auto"/>
              <w:right w:val="single" w:sz="6" w:space="0" w:color="auto"/>
            </w:tcBorders>
          </w:tcPr>
          <w:p w:rsidR="0042058C" w:rsidRPr="0042058C" w:rsidRDefault="0042058C" w:rsidP="0042058C">
            <w:pPr>
              <w:spacing w:after="0" w:line="240" w:lineRule="auto"/>
              <w:jc w:val="center"/>
              <w:rPr>
                <w:rFonts w:ascii="Times New Roman" w:eastAsia="Times New Roman" w:hAnsi="Times New Roman" w:cs="Times New Roman"/>
                <w:sz w:val="20"/>
                <w:szCs w:val="20"/>
                <w:lang w:eastAsia="ru-RU"/>
              </w:rPr>
            </w:pPr>
            <w:r w:rsidRPr="0042058C">
              <w:rPr>
                <w:rFonts w:ascii="Times New Roman" w:eastAsia="Times New Roman" w:hAnsi="Times New Roman" w:cs="Times New Roman"/>
                <w:sz w:val="20"/>
                <w:szCs w:val="20"/>
                <w:lang w:eastAsia="ru-RU"/>
              </w:rPr>
              <w:t>с. Труновское</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776CAD">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4</w:t>
      </w:r>
    </w:p>
    <w:p w:rsidR="0042058C" w:rsidRPr="0042058C" w:rsidRDefault="0042058C" w:rsidP="00776CAD">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p>
    <w:p w:rsidR="00E5479A"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D910A1" w:rsidRPr="00D910A1">
        <w:rPr>
          <w:rFonts w:ascii="Times New Roman" w:eastAsia="Times New Roman" w:hAnsi="Times New Roman" w:cs="Times New Roman"/>
          <w:sz w:val="28"/>
          <w:szCs w:val="28"/>
          <w:lang w:eastAsia="ru-RU"/>
        </w:rPr>
        <w:t>генерально</w:t>
      </w:r>
      <w:r w:rsidR="00E5479A">
        <w:rPr>
          <w:rFonts w:ascii="Times New Roman" w:eastAsia="Times New Roman" w:hAnsi="Times New Roman" w:cs="Times New Roman"/>
          <w:sz w:val="28"/>
          <w:szCs w:val="28"/>
          <w:lang w:eastAsia="ru-RU"/>
        </w:rPr>
        <w:t>му</w:t>
      </w:r>
      <w:r w:rsidR="00D910A1" w:rsidRPr="00D910A1">
        <w:rPr>
          <w:rFonts w:ascii="Times New Roman" w:eastAsia="Times New Roman" w:hAnsi="Times New Roman" w:cs="Times New Roman"/>
          <w:sz w:val="28"/>
          <w:szCs w:val="28"/>
          <w:lang w:eastAsia="ru-RU"/>
        </w:rPr>
        <w:t xml:space="preserve"> план</w:t>
      </w:r>
      <w:r w:rsidR="00E5479A">
        <w:rPr>
          <w:rFonts w:ascii="Times New Roman" w:eastAsia="Times New Roman" w:hAnsi="Times New Roman" w:cs="Times New Roman"/>
          <w:sz w:val="28"/>
          <w:szCs w:val="28"/>
          <w:lang w:eastAsia="ru-RU"/>
        </w:rPr>
        <w:t>у</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776CAD">
      <w:pPr>
        <w:autoSpaceDE w:val="0"/>
        <w:autoSpaceDN w:val="0"/>
        <w:adjustRightInd w:val="0"/>
        <w:spacing w:after="0" w:line="240" w:lineRule="exact"/>
        <w:ind w:left="4820"/>
        <w:rPr>
          <w:rFonts w:ascii="Times New Roman" w:eastAsia="Times New Roman" w:hAnsi="Times New Roman" w:cs="Times New Roman"/>
          <w:sz w:val="28"/>
          <w:szCs w:val="28"/>
          <w:lang w:eastAsia="ru-RU"/>
        </w:rPr>
      </w:pPr>
      <w:proofErr w:type="gramStart"/>
      <w:r w:rsidRPr="0042058C">
        <w:rPr>
          <w:rFonts w:ascii="Times New Roman" w:eastAsia="Times New Roman" w:hAnsi="Times New Roman" w:cs="Times New Roman"/>
          <w:sz w:val="28"/>
          <w:szCs w:val="28"/>
          <w:lang w:eastAsia="ru-RU"/>
        </w:rPr>
        <w:t xml:space="preserve">от  </w:t>
      </w:r>
      <w:r w:rsidR="00E5479A">
        <w:rPr>
          <w:rFonts w:ascii="Times New Roman" w:eastAsia="Times New Roman" w:hAnsi="Times New Roman" w:cs="Times New Roman"/>
          <w:sz w:val="28"/>
          <w:szCs w:val="28"/>
          <w:lang w:eastAsia="ru-RU"/>
        </w:rPr>
        <w:t>15</w:t>
      </w:r>
      <w:proofErr w:type="gramEnd"/>
      <w:r w:rsidR="00E5479A">
        <w:rPr>
          <w:rFonts w:ascii="Times New Roman" w:eastAsia="Times New Roman" w:hAnsi="Times New Roman" w:cs="Times New Roman"/>
          <w:sz w:val="28"/>
          <w:szCs w:val="28"/>
          <w:lang w:eastAsia="ru-RU"/>
        </w:rPr>
        <w:t xml:space="preserve"> февраля 2022 г.</w:t>
      </w:r>
      <w:r w:rsidRPr="0042058C">
        <w:rPr>
          <w:rFonts w:ascii="Times New Roman" w:eastAsia="Times New Roman" w:hAnsi="Times New Roman" w:cs="Times New Roman"/>
          <w:sz w:val="28"/>
          <w:szCs w:val="28"/>
          <w:lang w:eastAsia="ru-RU"/>
        </w:rPr>
        <w:t xml:space="preserve">  № </w:t>
      </w:r>
      <w:r w:rsidR="00E5479A">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Объекты археологического наследия, расположенные на трерритории Труновского муниципального округа</w:t>
      </w:r>
      <w:r w:rsidR="00D766F3" w:rsidRPr="00CD70A7">
        <w:rPr>
          <w:rFonts w:ascii="Times New Roman" w:eastAsia="Times New Roman" w:hAnsi="Times New Roman" w:cs="Times New Roman"/>
          <w:b/>
          <w:noProof/>
          <w:sz w:val="28"/>
          <w:szCs w:val="28"/>
          <w:lang w:eastAsia="ru-RU"/>
        </w:rPr>
        <w:t xml:space="preserve"> Ставропольского края</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384"/>
        <w:gridCol w:w="1631"/>
        <w:gridCol w:w="1394"/>
        <w:gridCol w:w="1685"/>
        <w:gridCol w:w="1327"/>
        <w:gridCol w:w="1335"/>
        <w:gridCol w:w="1712"/>
      </w:tblGrid>
      <w:tr w:rsidR="0042058C" w:rsidRPr="0042058C" w:rsidTr="0042058C">
        <w:tc>
          <w:tcPr>
            <w:tcW w:w="189"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п/п</w:t>
            </w:r>
          </w:p>
        </w:tc>
        <w:tc>
          <w:tcPr>
            <w:tcW w:w="769"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Наименование объекта</w:t>
            </w:r>
          </w:p>
        </w:tc>
        <w:tc>
          <w:tcPr>
            <w:tcW w:w="690"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Датировка</w:t>
            </w:r>
          </w:p>
        </w:tc>
        <w:tc>
          <w:tcPr>
            <w:tcW w:w="844"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Местонахождение объекта (адрес)</w:t>
            </w:r>
          </w:p>
        </w:tc>
        <w:tc>
          <w:tcPr>
            <w:tcW w:w="680"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Пользователь или собственник</w:t>
            </w:r>
          </w:p>
        </w:tc>
        <w:tc>
          <w:tcPr>
            <w:tcW w:w="663"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Техническое состояние</w:t>
            </w:r>
          </w:p>
        </w:tc>
        <w:tc>
          <w:tcPr>
            <w:tcW w:w="1164" w:type="pct"/>
            <w:shd w:val="clear" w:color="auto" w:fill="auto"/>
            <w:vAlign w:val="center"/>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Заключение экспертизы</w:t>
            </w:r>
          </w:p>
        </w:tc>
      </w:tr>
      <w:tr w:rsidR="0042058C" w:rsidRPr="0042058C" w:rsidTr="0042058C">
        <w:tc>
          <w:tcPr>
            <w:tcW w:w="5000" w:type="pct"/>
            <w:gridSpan w:val="7"/>
            <w:shd w:val="clear" w:color="auto" w:fill="auto"/>
          </w:tcPr>
          <w:p w:rsidR="0042058C" w:rsidRPr="0042058C" w:rsidRDefault="0042058C" w:rsidP="0042058C">
            <w:pPr>
              <w:snapToGrid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Памятники археологии</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lang w:val="en-US"/>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«Малая Кугульта – 2» (2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склоне левого берега реки Тугулук, в 1,5 км на юго-юго-восток от х. Еськов и в 1 км на северо-северо-запад от северо-западной окраины с. Ключевское.</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«Большая Кугульта – 3» (4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вершине водораздела р. Тугулук и балки Безымянной, в 1,9 км на северо-восток от восточной окраины х. Кофанов и в 2,4 км на северо-запад от с. Ключевское (привязка – кладбище).</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«Донской – 1» (3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левом берегу р. Большая Кугульта, в урочище Веселое, в 12 км северо-западнее школы с. Малая Кугульта и 8,1 км западнее стадиона с. Подлесного, в 4,2 км севернее курганного могильника «Малая Кугульта – 3»</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rPr>
          <w:trHeight w:val="79"/>
        </w:trPr>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«Донской – 2» (2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правом берегу р. Большая Кугульта, в 5,4 км северо-восточнее х. Звягинцев и в 8,1 км северо-западнее с. Подлесного, в 1,3 км севернее курганного могильника «Большая Кугульта – 1»</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«Журавский – 1» (14 курганных насыпей)</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6 км юго-западнее школы п. Красная Поляна и в 8,1 км северо-восточнее северной окраины х. Звягинцев, в 5,1 км севернее курганного могильника «Большая Кугульта – 2»</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«Малая Кугульта – 1» (3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первой надпойменной террасе левого берега р. Ташла, в 7,9 км на восток от восточной окраины х. Беляев из 1,7 км на юг от южной окраины с. Донского, в районе км 38/285 а/д Ставрополь – Ростов-на-Дону</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«Малая Кугульта – 2» (2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склоне левого берега р. Ташла в 2,2 км на юго-юго-запад от стадиона с. Донского и в 10,8 км на северо-восток от северной окраины х. Беляев, в районе км 45/278 а/д Ставрополь – Ростов-на-Дону</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«Малая Кугульта – 3» (4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правом высоком берегу балки Журавка, в 1,8 км юго-западнее северной окраины с. Новая Кугульта (привязка – школа) и в 2,7 км юго-восточнее ОТФ с-за им. Горького, в 15,7 км севернее курганного могильника «Новотерновский – 2»</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«Новотерновский – 1» (2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правом берегу р. Малая Кугульта, в 2,8 км северо-западнее школы с. Малая Кугульта и в 7,7 км на юго-юго-запад от стадиона с. Подлесного, в 1,9 км северо-западнее курганного могильника «Журавский – 1»</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«Новотерновский -2» (3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rPr>
          <w:trHeight w:val="79"/>
        </w:trPr>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«Подлесное – 1» (4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 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4,7 км северо-западнее школы с. Малая Кугульта и в 7,8 км на юго-юго-запад от стадиона с. Подлесного, в 1,9 км северо-западнее курганного могильника «Малая Кугульта – 1»</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«Родники – 1» (1 курганная насыпь)</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 6 км юго-западнее школы п. Красная Поляна и в 8,1 км северо-восточнее северной окраины х. Звягинцев, в 5,1 км севернее курганного могильника «Большая Кугульта – 2»</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rPr>
          <w:trHeight w:val="548"/>
        </w:trPr>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«Труновский – 1» (2 курганные насыпи)</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На первой надпойменной террасе левого берега р. Ташла, в 7,9 км на восток от восточной окраины х. Беляев и в 1,7 км на юг от южной окраины с. Донского, в районе км 38/285 а/д Ставрополь – Ростов-на-Дону</w:t>
            </w:r>
          </w:p>
        </w:tc>
        <w:tc>
          <w:tcPr>
            <w:tcW w:w="680" w:type="pct"/>
            <w:shd w:val="clear" w:color="auto" w:fill="auto"/>
          </w:tcPr>
          <w:p w:rsidR="0042058C" w:rsidRPr="0042058C" w:rsidRDefault="0042058C" w:rsidP="0042058C">
            <w:pPr>
              <w:spacing w:after="16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«Труновский – 1»</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2,5 км на северо-восток от юго-восточной окраины с. Труновское и в 3,8 км на юго-запад от юго-западной окраины д. Кирова (228,6)</w:t>
            </w:r>
          </w:p>
        </w:tc>
        <w:tc>
          <w:tcPr>
            <w:tcW w:w="68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КСП "Родина"</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Курганный могильник "Невдахин-1" </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1,5 км юго-восточнее южного</w:t>
            </w:r>
          </w:p>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края с. Безопасное и 1,9 км северо-восточнее п. Эммануэлевский </w:t>
            </w:r>
          </w:p>
        </w:tc>
        <w:tc>
          <w:tcPr>
            <w:tcW w:w="68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колхоз им. Горького</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Курганный могильник "Ильинский-1" </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3,7 км юго-юго-западнее х. Ильинский и 1,1 км северо- северо-восточнее пункта </w:t>
            </w:r>
          </w:p>
        </w:tc>
        <w:tc>
          <w:tcPr>
            <w:tcW w:w="68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СХП ТОО "Мелиоратор" </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"Развильное-1"</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4,3 км северо-западнее- западнее пункта триангуляции (154,7) и 4,6 км юго- восточнее-восточнее пункта триангуляции (124,3) </w:t>
            </w:r>
          </w:p>
        </w:tc>
        <w:tc>
          <w:tcPr>
            <w:tcW w:w="68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АО "Предприятие "Волна"</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r w:rsidR="0042058C" w:rsidRPr="0042058C" w:rsidTr="0042058C">
        <w:tc>
          <w:tcPr>
            <w:tcW w:w="189" w:type="pct"/>
            <w:shd w:val="clear" w:color="auto" w:fill="auto"/>
          </w:tcPr>
          <w:p w:rsidR="0042058C" w:rsidRPr="0042058C" w:rsidRDefault="0042058C" w:rsidP="00953F17">
            <w:pPr>
              <w:widowControl w:val="0"/>
              <w:numPr>
                <w:ilvl w:val="0"/>
                <w:numId w:val="45"/>
              </w:numPr>
              <w:autoSpaceDE w:val="0"/>
              <w:autoSpaceDN w:val="0"/>
              <w:adjustRightInd w:val="0"/>
              <w:snapToGrid w:val="0"/>
              <w:spacing w:after="160" w:line="256" w:lineRule="auto"/>
              <w:jc w:val="center"/>
              <w:rPr>
                <w:rFonts w:ascii="Times New Roman" w:eastAsia="Calibri" w:hAnsi="Times New Roman" w:cs="Times New Roman"/>
                <w:sz w:val="20"/>
                <w:szCs w:val="20"/>
              </w:rPr>
            </w:pPr>
          </w:p>
        </w:tc>
        <w:tc>
          <w:tcPr>
            <w:tcW w:w="76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Курганный могильник "Развильное-2"</w:t>
            </w:r>
          </w:p>
        </w:tc>
        <w:tc>
          <w:tcPr>
            <w:tcW w:w="69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эпоха бронзы-средневековье.</w:t>
            </w:r>
          </w:p>
        </w:tc>
        <w:tc>
          <w:tcPr>
            <w:tcW w:w="844"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6,3 км юго-юго-западнее пункта триангуляции (154,7) и 3 км юго-восточнее пункта триангуляции (124,3)</w:t>
            </w:r>
          </w:p>
        </w:tc>
        <w:tc>
          <w:tcPr>
            <w:tcW w:w="680"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КСП "Терновский"</w:t>
            </w:r>
          </w:p>
        </w:tc>
        <w:tc>
          <w:tcPr>
            <w:tcW w:w="659" w:type="pct"/>
            <w:shd w:val="clear" w:color="auto" w:fill="auto"/>
          </w:tcPr>
          <w:p w:rsidR="0042058C" w:rsidRPr="0042058C" w:rsidRDefault="0042058C" w:rsidP="0042058C">
            <w:pPr>
              <w:snapToGri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распахивается</w:t>
            </w:r>
          </w:p>
        </w:tc>
        <w:tc>
          <w:tcPr>
            <w:tcW w:w="1168" w:type="pct"/>
            <w:shd w:val="clear" w:color="auto" w:fill="auto"/>
          </w:tcPr>
          <w:p w:rsidR="0042058C" w:rsidRPr="0042058C" w:rsidRDefault="0042058C" w:rsidP="0042058C">
            <w:pPr>
              <w:snapToGri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Представляет научную, историческую и культурную ценность.</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D910A1" w:rsidRPr="0042058C" w:rsidRDefault="00D910A1"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E5479A">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5</w:t>
      </w:r>
    </w:p>
    <w:p w:rsidR="0042058C" w:rsidRPr="0042058C" w:rsidRDefault="0042058C" w:rsidP="00E5479A">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p>
    <w:p w:rsidR="00E5479A" w:rsidRDefault="0042058C" w:rsidP="00E5479A">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D910A1" w:rsidRPr="00D910A1">
        <w:rPr>
          <w:rFonts w:ascii="Times New Roman" w:eastAsia="Times New Roman" w:hAnsi="Times New Roman" w:cs="Times New Roman"/>
          <w:sz w:val="28"/>
          <w:szCs w:val="28"/>
          <w:lang w:eastAsia="ru-RU"/>
        </w:rPr>
        <w:t>генерально</w:t>
      </w:r>
      <w:r w:rsidR="00E5479A">
        <w:rPr>
          <w:rFonts w:ascii="Times New Roman" w:eastAsia="Times New Roman" w:hAnsi="Times New Roman" w:cs="Times New Roman"/>
          <w:sz w:val="28"/>
          <w:szCs w:val="28"/>
          <w:lang w:eastAsia="ru-RU"/>
        </w:rPr>
        <w:t>му</w:t>
      </w:r>
      <w:r w:rsidR="00D910A1" w:rsidRPr="00D910A1">
        <w:rPr>
          <w:rFonts w:ascii="Times New Roman" w:eastAsia="Times New Roman" w:hAnsi="Times New Roman" w:cs="Times New Roman"/>
          <w:sz w:val="28"/>
          <w:szCs w:val="28"/>
          <w:lang w:eastAsia="ru-RU"/>
        </w:rPr>
        <w:t xml:space="preserve"> план</w:t>
      </w:r>
      <w:r w:rsidR="00E5479A">
        <w:rPr>
          <w:rFonts w:ascii="Times New Roman" w:eastAsia="Times New Roman" w:hAnsi="Times New Roman" w:cs="Times New Roman"/>
          <w:sz w:val="28"/>
          <w:szCs w:val="28"/>
          <w:lang w:eastAsia="ru-RU"/>
        </w:rPr>
        <w:t>у</w:t>
      </w:r>
    </w:p>
    <w:p w:rsidR="0042058C" w:rsidRPr="0042058C" w:rsidRDefault="0042058C" w:rsidP="00E5479A">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E5479A">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E5479A">
      <w:pPr>
        <w:autoSpaceDE w:val="0"/>
        <w:autoSpaceDN w:val="0"/>
        <w:adjustRightInd w:val="0"/>
        <w:spacing w:after="0" w:line="240" w:lineRule="exact"/>
        <w:ind w:left="4820"/>
        <w:rPr>
          <w:rFonts w:ascii="Times New Roman" w:eastAsia="Times New Roman" w:hAnsi="Times New Roman" w:cs="Times New Roman"/>
          <w:sz w:val="28"/>
          <w:szCs w:val="28"/>
          <w:lang w:eastAsia="ru-RU"/>
        </w:rPr>
      </w:pPr>
      <w:proofErr w:type="gramStart"/>
      <w:r w:rsidRPr="0042058C">
        <w:rPr>
          <w:rFonts w:ascii="Times New Roman" w:eastAsia="Times New Roman" w:hAnsi="Times New Roman" w:cs="Times New Roman"/>
          <w:sz w:val="28"/>
          <w:szCs w:val="28"/>
          <w:lang w:eastAsia="ru-RU"/>
        </w:rPr>
        <w:t xml:space="preserve">от  </w:t>
      </w:r>
      <w:r w:rsidR="00CD70A7">
        <w:rPr>
          <w:rFonts w:ascii="Times New Roman" w:eastAsia="Times New Roman" w:hAnsi="Times New Roman" w:cs="Times New Roman"/>
          <w:sz w:val="28"/>
          <w:szCs w:val="28"/>
          <w:lang w:eastAsia="ru-RU"/>
        </w:rPr>
        <w:t>15</w:t>
      </w:r>
      <w:proofErr w:type="gramEnd"/>
      <w:r w:rsidRPr="0042058C">
        <w:rPr>
          <w:rFonts w:ascii="Times New Roman" w:eastAsia="Times New Roman" w:hAnsi="Times New Roman" w:cs="Times New Roman"/>
          <w:sz w:val="28"/>
          <w:szCs w:val="28"/>
          <w:lang w:eastAsia="ru-RU"/>
        </w:rPr>
        <w:t xml:space="preserve"> </w:t>
      </w:r>
      <w:r w:rsidR="00CD70A7">
        <w:rPr>
          <w:rFonts w:ascii="Times New Roman" w:eastAsia="Times New Roman" w:hAnsi="Times New Roman" w:cs="Times New Roman"/>
          <w:sz w:val="28"/>
          <w:szCs w:val="28"/>
          <w:lang w:eastAsia="ru-RU"/>
        </w:rPr>
        <w:t>февраля</w:t>
      </w:r>
      <w:r w:rsidRPr="0042058C">
        <w:rPr>
          <w:rFonts w:ascii="Times New Roman" w:eastAsia="Times New Roman" w:hAnsi="Times New Roman" w:cs="Times New Roman"/>
          <w:sz w:val="28"/>
          <w:szCs w:val="28"/>
          <w:lang w:eastAsia="ru-RU"/>
        </w:rPr>
        <w:t xml:space="preserve"> </w:t>
      </w:r>
      <w:r w:rsidR="00CD70A7">
        <w:rPr>
          <w:rFonts w:ascii="Times New Roman" w:eastAsia="Times New Roman" w:hAnsi="Times New Roman" w:cs="Times New Roman"/>
          <w:sz w:val="28"/>
          <w:szCs w:val="28"/>
          <w:lang w:eastAsia="ru-RU"/>
        </w:rPr>
        <w:t>2022 г.</w:t>
      </w:r>
      <w:r w:rsidRPr="0042058C">
        <w:rPr>
          <w:rFonts w:ascii="Times New Roman" w:eastAsia="Times New Roman" w:hAnsi="Times New Roman" w:cs="Times New Roman"/>
          <w:sz w:val="28"/>
          <w:szCs w:val="28"/>
          <w:lang w:eastAsia="ru-RU"/>
        </w:rPr>
        <w:t xml:space="preserve">  № </w:t>
      </w:r>
      <w:r w:rsidR="00CD70A7">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D766F3" w:rsidRPr="00CD70A7" w:rsidRDefault="0042058C" w:rsidP="00D766F3">
      <w:pPr>
        <w:autoSpaceDE w:val="0"/>
        <w:autoSpaceDN w:val="0"/>
        <w:adjustRightInd w:val="0"/>
        <w:spacing w:after="0" w:line="240" w:lineRule="exact"/>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 xml:space="preserve">Градостроительные ограничения и режимы использованя территории </w:t>
      </w:r>
    </w:p>
    <w:p w:rsidR="0042058C" w:rsidRP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по функциональным зонам Труновского муниципального округа</w:t>
      </w:r>
      <w:r w:rsidR="00D766F3" w:rsidRPr="00CD70A7">
        <w:rPr>
          <w:rFonts w:ascii="Times New Roman" w:eastAsia="Times New Roman" w:hAnsi="Times New Roman" w:cs="Times New Roman"/>
          <w:b/>
          <w:noProof/>
          <w:sz w:val="28"/>
          <w:szCs w:val="28"/>
          <w:lang w:eastAsia="ru-RU"/>
        </w:rPr>
        <w:t xml:space="preserve"> Ставропольского края</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745"/>
        <w:gridCol w:w="7723"/>
      </w:tblGrid>
      <w:tr w:rsidR="0042058C" w:rsidRPr="0042058C" w:rsidTr="0042058C">
        <w:tc>
          <w:tcPr>
            <w:tcW w:w="863" w:type="pct"/>
            <w:shd w:val="clear" w:color="auto" w:fill="auto"/>
            <w:tcMar>
              <w:left w:w="57" w:type="dxa"/>
              <w:right w:w="57"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Виды зон с особыми условиями использования территории</w:t>
            </w:r>
          </w:p>
        </w:tc>
        <w:tc>
          <w:tcPr>
            <w:tcW w:w="4137" w:type="pct"/>
            <w:shd w:val="clear" w:color="auto" w:fill="auto"/>
            <w:tcMar>
              <w:left w:w="57" w:type="dxa"/>
              <w:right w:w="57" w:type="dxa"/>
            </w:tcMar>
            <w:vAlign w:val="center"/>
          </w:tcPr>
          <w:p w:rsidR="0042058C" w:rsidRPr="0042058C" w:rsidRDefault="0042058C" w:rsidP="0042058C">
            <w:pPr>
              <w:widowControl w:val="0"/>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Ограничение в использовании земельных участков и объектов капитального строительства</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Санитарно-защитная зона предприятий, сооружений и иных объектов</w:t>
            </w:r>
          </w:p>
        </w:tc>
        <w:tc>
          <w:tcPr>
            <w:tcW w:w="4137" w:type="pct"/>
            <w:shd w:val="clear" w:color="auto" w:fill="auto"/>
            <w:tcMar>
              <w:left w:w="57" w:type="dxa"/>
              <w:right w:w="57" w:type="dxa"/>
            </w:tcMar>
          </w:tcPr>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Территория санитарно-защитной зоны предназначена для:</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обеспечения снижения уровня воздействия до требуемых гигиенических нормативов по всем факторам воздействия за её пределами;</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создания санитарно-защитного барьера между территорией предприятия (группы предприятий) и территорией жилой застройки;</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организации дополнительных озеленённых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 же с учётом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следующие размеры санитарно-защитных зон:</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предприятия первого класса – 1 000 м;</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предприятия второго класса – 500 м;</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предприятия третьего класса – 300 м;</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предприятия четвертого класса – 100 м;</w:t>
            </w:r>
          </w:p>
          <w:p w:rsidR="0042058C" w:rsidRPr="0042058C" w:rsidRDefault="0042058C" w:rsidP="00953F17">
            <w:pPr>
              <w:widowControl w:val="0"/>
              <w:numPr>
                <w:ilvl w:val="0"/>
                <w:numId w:val="49"/>
              </w:numPr>
              <w:shd w:val="clear" w:color="auto" w:fill="FFFFFF"/>
              <w:tabs>
                <w:tab w:val="left" w:pos="209"/>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предприятия пятого класса – 50 м.</w:t>
            </w:r>
          </w:p>
          <w:p w:rsidR="0042058C" w:rsidRPr="0042058C" w:rsidRDefault="0042058C" w:rsidP="0042058C">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Не допускается сокращение величины санитарно-защитной зоны для действующих предприятий на основании данных, полученных только расчётным путём.</w:t>
            </w:r>
          </w:p>
          <w:p w:rsidR="0042058C" w:rsidRPr="0042058C" w:rsidRDefault="0042058C" w:rsidP="0042058C">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Не допускается размещение в санитарно-защитной зоне коллективных или индивидуальных дачных и садово-огородных участков.</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Санитарный разрыв линий железнодорожного транспорта</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Величина санитарного разрыва при проектировании устанавливается в соответствии с санитарными правилами и нормами, санитарно-эпидемиологическими правилами по организации грузовых перевозок и санитарно-эпидемиологическими правилами по организации пассажирских перевозок.</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 пределах санитарного разрыва запрещается размещение объектов для проживания людей.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Существующие жилые и общественные здания, расположенные в зоне санитарного разрыва существующих железнодорожных линий с нарушениями требований СП 42.13330, подлежат сносу по мере их физического и морального износа.</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При использовании территории санитарного разрыва или какой-либо ее части для расширения объектов инфраструктуры железнодорожного транспорта устанавливаются изменения санитарного разрыва в соответствии с санитарно-эпидемиологическими правилами и нормами и проведения при необходимости соответствующих мероприятий по обеспечению защиты от вредного воздействия на среду обитания и здоровье человека.</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Санитарный разрыв от сооружений для хранения легкового автотранспорта до объектов застройки</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Размер санитарного разрыва регламентируется табл. 7.1.1 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Pr="0042058C">
              <w:rPr>
                <w:rFonts w:ascii="Times New Roman" w:eastAsia="Calibri" w:hAnsi="Times New Roman" w:cs="Times New Roman"/>
                <w:sz w:val="20"/>
                <w:szCs w:val="20"/>
              </w:rPr>
              <w:cr/>
              <w:t>Расстояние составляет:</w:t>
            </w:r>
          </w:p>
          <w:p w:rsidR="0042058C" w:rsidRPr="0042058C" w:rsidRDefault="0042058C" w:rsidP="00953F17">
            <w:pPr>
              <w:widowControl w:val="0"/>
              <w:numPr>
                <w:ilvl w:val="0"/>
                <w:numId w:val="53"/>
              </w:numPr>
              <w:tabs>
                <w:tab w:val="left" w:pos="196"/>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 фасадов жилых домов и торцов с окнами до:</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открытых автостоянок и паркингов вместимостью 10 и менее машино-мест – 10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11-50 машино-мест – 15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51-100 машино-мест – 25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101-300 машино-мест – 35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свыше 300 машино-мест – 50 м;</w:t>
            </w:r>
          </w:p>
          <w:p w:rsidR="0042058C" w:rsidRPr="0042058C" w:rsidRDefault="0042058C" w:rsidP="00953F17">
            <w:pPr>
              <w:widowControl w:val="0"/>
              <w:numPr>
                <w:ilvl w:val="0"/>
                <w:numId w:val="53"/>
              </w:numPr>
              <w:tabs>
                <w:tab w:val="left" w:pos="196"/>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 торцов жилых домов без окон до:</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открытых автостоянок и паркингов вместимостью 10 и менее машино-мест – 10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11-50 машино-мест – 10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51-100 машино-мест – 15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101-300 машино-мест – 25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свыше 300 машино-мест – 35 м;</w:t>
            </w:r>
          </w:p>
          <w:p w:rsidR="0042058C" w:rsidRPr="0042058C" w:rsidRDefault="0042058C" w:rsidP="00953F17">
            <w:pPr>
              <w:widowControl w:val="0"/>
              <w:numPr>
                <w:ilvl w:val="0"/>
                <w:numId w:val="53"/>
              </w:numPr>
              <w:tabs>
                <w:tab w:val="left" w:pos="226"/>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от территории школ, детских учреждений, ПТУ, техникумов, площадок для отдыха, игр и спорта: </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открытых автостоянок и паркингов вместимостью 10 и менее машино-мест – 25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11-50 машино-мест – 50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51-100 машино-мест – 50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101-300 машино-мест – 50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свыше 300 машино-мест – 50 м;</w:t>
            </w:r>
          </w:p>
          <w:p w:rsidR="0042058C" w:rsidRPr="0042058C" w:rsidRDefault="0042058C" w:rsidP="00953F17">
            <w:pPr>
              <w:widowControl w:val="0"/>
              <w:numPr>
                <w:ilvl w:val="0"/>
                <w:numId w:val="53"/>
              </w:numPr>
              <w:tabs>
                <w:tab w:val="left" w:pos="209"/>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открытых автостоянок и паркингов вместимостью 10 и менее машино-мест – 25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11-50 машино-мест – 50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51-100 машино-мест – по расчетам;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101-300 машино-мест – по расчетам;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вместимостью свыше 300 машино-мест – по расчетам.</w:t>
            </w:r>
          </w:p>
        </w:tc>
      </w:tr>
      <w:tr w:rsidR="0042058C" w:rsidRPr="0042058C" w:rsidTr="0042058C">
        <w:tc>
          <w:tcPr>
            <w:tcW w:w="863" w:type="pct"/>
            <w:shd w:val="clear" w:color="auto" w:fill="auto"/>
            <w:tcMar>
              <w:left w:w="57" w:type="dxa"/>
              <w:right w:w="57" w:type="dxa"/>
            </w:tcMar>
            <w:vAlign w:val="center"/>
          </w:tcPr>
          <w:p w:rsidR="0042058C" w:rsidRPr="0042058C" w:rsidRDefault="0042058C" w:rsidP="0042058C">
            <w:pPr>
              <w:pBdr>
                <w:top w:val="nil"/>
                <w:left w:val="nil"/>
                <w:bottom w:val="nil"/>
                <w:right w:val="nil"/>
                <w:between w:val="nil"/>
                <w:bar w:val="nil"/>
              </w:pBdr>
              <w:spacing w:after="0" w:line="240" w:lineRule="auto"/>
              <w:rPr>
                <w:rFonts w:ascii="Times New Roman" w:eastAsia="Helvetica Neue Light" w:hAnsi="Times New Roman" w:cs="Times New Roman"/>
                <w:bCs/>
                <w:sz w:val="20"/>
                <w:szCs w:val="20"/>
                <w:bdr w:val="nil"/>
                <w:lang w:eastAsia="ru-RU"/>
              </w:rPr>
            </w:pPr>
            <w:r w:rsidRPr="0042058C">
              <w:rPr>
                <w:rFonts w:ascii="Times New Roman" w:eastAsia="Helvetica Neue Light" w:hAnsi="Times New Roman" w:cs="Times New Roman"/>
                <w:bCs/>
                <w:sz w:val="20"/>
                <w:szCs w:val="20"/>
                <w:bdr w:val="nil"/>
                <w:lang w:eastAsia="ru-RU"/>
              </w:rPr>
              <w:t>Санитарный разрыв магистральных трубопроводов углеводородного сырья</w:t>
            </w:r>
          </w:p>
        </w:tc>
        <w:tc>
          <w:tcPr>
            <w:tcW w:w="4137" w:type="pct"/>
            <w:vMerge w:val="restart"/>
            <w:shd w:val="clear" w:color="auto" w:fill="auto"/>
            <w:tcMar>
              <w:left w:w="57" w:type="dxa"/>
              <w:right w:w="57" w:type="dxa"/>
            </w:tcMar>
            <w:vAlign w:val="cente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1-6 </w:t>
            </w:r>
            <w:r w:rsidRPr="0042058C">
              <w:rPr>
                <w:rFonts w:ascii="Times New Roman" w:eastAsia="Calibri" w:hAnsi="Times New Roman" w:cs="Times New Roman"/>
                <w:sz w:val="20"/>
                <w:szCs w:val="20"/>
              </w:rPr>
              <w:t>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Санитарный разрыв компрессорных установок</w:t>
            </w:r>
          </w:p>
        </w:tc>
        <w:tc>
          <w:tcPr>
            <w:tcW w:w="4137" w:type="pct"/>
            <w:vMerge/>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bCs/>
                <w:sz w:val="20"/>
                <w:szCs w:val="20"/>
              </w:rPr>
              <w:t>Санитарный разрыв линий электропередачи</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2058C" w:rsidRPr="0042058C" w:rsidRDefault="0042058C" w:rsidP="00953F17">
            <w:pPr>
              <w:widowControl w:val="0"/>
              <w:numPr>
                <w:ilvl w:val="0"/>
                <w:numId w:val="54"/>
              </w:numPr>
              <w:tabs>
                <w:tab w:val="left" w:pos="209"/>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20 м – для ВЛ напряжением 330 кВ;</w:t>
            </w:r>
          </w:p>
          <w:p w:rsidR="0042058C" w:rsidRPr="0042058C" w:rsidRDefault="0042058C" w:rsidP="00953F17">
            <w:pPr>
              <w:widowControl w:val="0"/>
              <w:numPr>
                <w:ilvl w:val="0"/>
                <w:numId w:val="54"/>
              </w:numPr>
              <w:tabs>
                <w:tab w:val="left" w:pos="209"/>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30 м – для ВЛ напряжением 500 кВ;</w:t>
            </w:r>
          </w:p>
          <w:p w:rsidR="0042058C" w:rsidRPr="0042058C" w:rsidRDefault="0042058C" w:rsidP="00953F17">
            <w:pPr>
              <w:widowControl w:val="0"/>
              <w:numPr>
                <w:ilvl w:val="0"/>
                <w:numId w:val="54"/>
              </w:numPr>
              <w:tabs>
                <w:tab w:val="left" w:pos="209"/>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40 м – для ВЛ напряжением 750 кВ;</w:t>
            </w:r>
          </w:p>
          <w:p w:rsidR="0042058C" w:rsidRPr="0042058C" w:rsidRDefault="0042058C" w:rsidP="00953F17">
            <w:pPr>
              <w:widowControl w:val="0"/>
              <w:numPr>
                <w:ilvl w:val="0"/>
                <w:numId w:val="54"/>
              </w:numPr>
              <w:tabs>
                <w:tab w:val="left" w:pos="209"/>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55 м – для ВЛ напряжением 1150 кВ.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Охранная зона нефтепроводов</w:t>
            </w:r>
          </w:p>
        </w:tc>
        <w:tc>
          <w:tcPr>
            <w:tcW w:w="4137" w:type="pct"/>
            <w:shd w:val="clear" w:color="auto" w:fill="auto"/>
            <w:tcMar>
              <w:left w:w="57" w:type="dxa"/>
              <w:right w:w="57" w:type="dxa"/>
            </w:tcMar>
          </w:tcPr>
          <w:p w:rsidR="0042058C" w:rsidRPr="0042058C" w:rsidRDefault="0042058C" w:rsidP="0042058C">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bCs/>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xml:space="preserve">Согласно </w:t>
            </w:r>
            <w:r w:rsidRPr="0042058C">
              <w:rPr>
                <w:rFonts w:ascii="Times New Roman" w:eastAsia="Helvetica Neue Light" w:hAnsi="Times New Roman" w:cs="Times New Roman"/>
                <w:bCs/>
                <w:spacing w:val="-6"/>
                <w:sz w:val="20"/>
                <w:szCs w:val="20"/>
                <w:bdr w:val="nil"/>
                <w:lang w:eastAsia="ru-RU"/>
              </w:rPr>
              <w:t xml:space="preserve">СП 36.13330.2012 Магистральные трубопроводы. Актуализированная редакция СНиП 2.05.06-85* </w:t>
            </w:r>
            <w:r w:rsidRPr="0042058C">
              <w:rPr>
                <w:rFonts w:ascii="Times New Roman" w:eastAsia="Helvetica Neue Light" w:hAnsi="Times New Roman" w:cs="Times New Roman"/>
                <w:spacing w:val="-6"/>
                <w:sz w:val="20"/>
                <w:szCs w:val="20"/>
                <w:bdr w:val="nil"/>
                <w:lang w:eastAsia="ru-RU"/>
              </w:rPr>
              <w:t>для исключения возможности повреждения трубопроводов (при любом виде их прокладки) устанавливаются охранные зоны: </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 </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 </w:t>
            </w:r>
          </w:p>
          <w:p w:rsidR="0042058C" w:rsidRPr="0042058C" w:rsidRDefault="0042058C" w:rsidP="00953F17">
            <w:pPr>
              <w:widowControl w:val="0"/>
              <w:numPr>
                <w:ilvl w:val="0"/>
                <w:numId w:val="52"/>
              </w:numPr>
              <w:shd w:val="clear" w:color="auto" w:fill="FFFFFF"/>
              <w:tabs>
                <w:tab w:val="left" w:pos="211"/>
              </w:tabs>
              <w:autoSpaceDE w:val="0"/>
              <w:autoSpaceDN w:val="0"/>
              <w:adjustRightInd w:val="0"/>
              <w:spacing w:after="160" w:line="256"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Охранная зона газопроводов и систем газоснабжения</w:t>
            </w:r>
          </w:p>
        </w:tc>
        <w:tc>
          <w:tcPr>
            <w:tcW w:w="4137" w:type="pct"/>
            <w:shd w:val="clear" w:color="auto" w:fill="auto"/>
            <w:tcMar>
              <w:left w:w="57" w:type="dxa"/>
              <w:right w:w="57" w:type="dxa"/>
            </w:tcMar>
          </w:tcPr>
          <w:p w:rsidR="0042058C" w:rsidRPr="0042058C" w:rsidRDefault="0042058C" w:rsidP="0042058C">
            <w:pPr>
              <w:widowControl w:val="0"/>
              <w:spacing w:after="0" w:line="240" w:lineRule="auto"/>
              <w:jc w:val="both"/>
              <w:rPr>
                <w:rFonts w:ascii="Times New Roman" w:eastAsia="Helvetica Neue Light" w:hAnsi="Times New Roman" w:cs="Times New Roman"/>
                <w:bCs/>
                <w:spacing w:val="-6"/>
                <w:sz w:val="20"/>
                <w:szCs w:val="20"/>
                <w:bdr w:val="nil"/>
              </w:rPr>
            </w:pPr>
            <w:r w:rsidRPr="0042058C">
              <w:rPr>
                <w:rFonts w:ascii="Times New Roman" w:eastAsia="Helvetica Neue Light" w:hAnsi="Times New Roman" w:cs="Times New Roman"/>
                <w:spacing w:val="-6"/>
                <w:sz w:val="20"/>
                <w:szCs w:val="20"/>
                <w:bdr w:val="nil"/>
              </w:rPr>
              <w:t>Согласно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w:t>
            </w:r>
            <w:r w:rsidRPr="0042058C">
              <w:rPr>
                <w:rFonts w:ascii="Times New Roman" w:eastAsia="Helvetica Neue Light" w:hAnsi="Times New Roman" w:cs="Times New Roman"/>
                <w:bCs/>
                <w:spacing w:val="-6"/>
                <w:sz w:val="20"/>
                <w:szCs w:val="20"/>
                <w:bdr w:val="nil"/>
              </w:rPr>
              <w:t xml:space="preserve"> д</w:t>
            </w:r>
            <w:r w:rsidRPr="0042058C">
              <w:rPr>
                <w:rFonts w:ascii="Times New Roman" w:eastAsia="Helvetica Neue Light" w:hAnsi="Times New Roman" w:cs="Times New Roman"/>
                <w:spacing w:val="-6"/>
                <w:sz w:val="20"/>
                <w:szCs w:val="20"/>
                <w:bdr w:val="nil"/>
              </w:rPr>
              <w:t>ля газораспределительных сетей устанавливаются следующие охранные зоны:</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2058C" w:rsidRPr="0042058C" w:rsidRDefault="0042058C" w:rsidP="0042058C">
            <w:pPr>
              <w:widowControl w:val="0"/>
              <w:shd w:val="clear" w:color="auto" w:fill="FFFFFF"/>
              <w:spacing w:after="0" w:line="240" w:lineRule="auto"/>
              <w:jc w:val="both"/>
              <w:rPr>
                <w:rFonts w:ascii="Times New Roman" w:eastAsia="Helvetica Neue Light" w:hAnsi="Times New Roman" w:cs="Times New Roman"/>
                <w:spacing w:val="-6"/>
                <w:sz w:val="20"/>
                <w:szCs w:val="20"/>
                <w:bdr w:val="nil"/>
              </w:rPr>
            </w:pPr>
            <w:r w:rsidRPr="0042058C">
              <w:rPr>
                <w:rFonts w:ascii="Times New Roman" w:eastAsia="Helvetica Neue Light" w:hAnsi="Times New Roman" w:cs="Times New Roman"/>
                <w:spacing w:val="-6"/>
                <w:sz w:val="20"/>
                <w:szCs w:val="20"/>
                <w:bdr w:val="nil"/>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2058C" w:rsidRPr="0042058C" w:rsidRDefault="0042058C" w:rsidP="0042058C">
            <w:pPr>
              <w:widowControl w:val="0"/>
              <w:spacing w:after="0" w:line="240" w:lineRule="auto"/>
              <w:jc w:val="both"/>
              <w:rPr>
                <w:rFonts w:ascii="Times New Roman" w:eastAsia="Helvetica Neue Light" w:hAnsi="Times New Roman" w:cs="Times New Roman"/>
                <w:bCs/>
                <w:spacing w:val="-6"/>
                <w:sz w:val="20"/>
                <w:szCs w:val="20"/>
                <w:bdr w:val="nil"/>
              </w:rPr>
            </w:pPr>
            <w:r w:rsidRPr="0042058C">
              <w:rPr>
                <w:rFonts w:ascii="Times New Roman" w:eastAsia="Helvetica Neue Light" w:hAnsi="Times New Roman" w:cs="Times New Roman"/>
                <w:spacing w:val="-6"/>
                <w:sz w:val="20"/>
                <w:szCs w:val="20"/>
                <w:bdr w:val="nil"/>
              </w:rPr>
              <w:t>Согласно Постановления Правительства Российской Федерации от 8 сентября 2017 года №1083 «Об утверждении</w:t>
            </w:r>
            <w:r w:rsidRPr="0042058C">
              <w:rPr>
                <w:rFonts w:ascii="Times New Roman" w:eastAsia="Helvetica Neue Light" w:hAnsi="Times New Roman" w:cs="Times New Roman"/>
                <w:bCs/>
                <w:spacing w:val="-6"/>
                <w:sz w:val="20"/>
                <w:szCs w:val="20"/>
                <w:bdr w:val="nil"/>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(с изменениями на 15 июля 2019 года)» о</w:t>
            </w:r>
            <w:r w:rsidRPr="0042058C">
              <w:rPr>
                <w:rFonts w:ascii="Times New Roman" w:eastAsia="Helvetica Neue Light" w:hAnsi="Times New Roman" w:cs="Times New Roman"/>
                <w:spacing w:val="-6"/>
                <w:sz w:val="20"/>
                <w:szCs w:val="20"/>
                <w:bdr w:val="nil"/>
              </w:rPr>
              <w:t>хранные зоны объектов магистральных газопроводов устанавливаются: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На земельные участки, входящие в </w:t>
            </w:r>
            <w:hyperlink r:id="rId55" w:anchor="block_360" w:history="1">
              <w:r w:rsidRPr="0042058C">
                <w:rPr>
                  <w:rFonts w:ascii="Times New Roman" w:eastAsia="Calibri" w:hAnsi="Times New Roman" w:cs="Times New Roman"/>
                  <w:bCs/>
                  <w:sz w:val="20"/>
                  <w:szCs w:val="20"/>
                </w:rPr>
                <w:t>охранные зоны газораспределительных сетей</w:t>
              </w:r>
            </w:hyperlink>
            <w:r w:rsidRPr="0042058C">
              <w:rPr>
                <w:rFonts w:ascii="Times New Roman" w:eastAsia="Calibri" w:hAnsi="Times New Roman" w:cs="Times New Roman"/>
                <w:bCs/>
                <w:sz w:val="20"/>
                <w:szCs w:val="20"/>
              </w:rPr>
              <w:t>, в целях предупреждения их повреждения или нарушения условий их нормальной эксплуатации налагаются ограничения (обременения), запрещается: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а) строить объекты жилищно-гражданского и производственного назначения;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 устраивать свалки и склады, разливать растворы кислот, солей, щелочей и других химически активных веществ;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е) огораживать и перегораживать охранные зоны, препятствовать доступу персонала </w:t>
            </w:r>
            <w:hyperlink r:id="rId56" w:anchor="block_390" w:history="1">
              <w:r w:rsidRPr="0042058C">
                <w:rPr>
                  <w:rFonts w:ascii="Times New Roman" w:eastAsia="Calibri" w:hAnsi="Times New Roman" w:cs="Times New Roman"/>
                  <w:bCs/>
                  <w:sz w:val="20"/>
                  <w:szCs w:val="20"/>
                </w:rPr>
                <w:t>эксплуатационных организаций к газораспределительным сетям</w:t>
              </w:r>
            </w:hyperlink>
            <w:r w:rsidRPr="0042058C">
              <w:rPr>
                <w:rFonts w:ascii="Times New Roman" w:eastAsia="Calibri" w:hAnsi="Times New Roman" w:cs="Times New Roman"/>
                <w:bCs/>
                <w:sz w:val="20"/>
                <w:szCs w:val="20"/>
              </w:rPr>
              <w:t>, проведению обслуживания и устранению повреждений газораспределительных сетей;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ж) разводить огонь и размещать источники огня;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и) открывать калитки и двери </w:t>
            </w:r>
            <w:hyperlink r:id="rId57" w:anchor="block_350" w:history="1">
              <w:r w:rsidRPr="0042058C">
                <w:rPr>
                  <w:rFonts w:ascii="Times New Roman" w:eastAsia="Calibri" w:hAnsi="Times New Roman" w:cs="Times New Roman"/>
                  <w:bCs/>
                  <w:sz w:val="20"/>
                  <w:szCs w:val="20"/>
                </w:rPr>
                <w:t>газорегуляторных пунктов</w:t>
              </w:r>
            </w:hyperlink>
            <w:r w:rsidRPr="0042058C">
              <w:rPr>
                <w:rFonts w:ascii="Times New Roman" w:eastAsia="Calibri" w:hAnsi="Times New Roman" w:cs="Times New Roman"/>
                <w:bCs/>
                <w:sz w:val="20"/>
                <w:szCs w:val="20"/>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2058C" w:rsidRPr="0042058C" w:rsidRDefault="0042058C" w:rsidP="0042058C">
            <w:pPr>
              <w:widowControl w:val="0"/>
              <w:autoSpaceDE w:val="0"/>
              <w:autoSpaceDN w:val="0"/>
              <w:adjustRightInd w:val="0"/>
              <w:spacing w:after="0" w:line="240" w:lineRule="auto"/>
              <w:jc w:val="both"/>
              <w:rPr>
                <w:rFonts w:ascii="Times New Roman" w:eastAsia="Helvetica Neue Light" w:hAnsi="Times New Roman" w:cs="Times New Roman"/>
                <w:color w:val="17365D"/>
                <w:spacing w:val="-6"/>
                <w:sz w:val="20"/>
                <w:szCs w:val="20"/>
                <w:bdr w:val="nil"/>
              </w:rPr>
            </w:pPr>
            <w:r w:rsidRPr="0042058C">
              <w:rPr>
                <w:rFonts w:ascii="Times New Roman" w:eastAsia="Calibri" w:hAnsi="Times New Roman" w:cs="Times New Roman"/>
                <w:bCs/>
                <w:sz w:val="20"/>
                <w:szCs w:val="20"/>
              </w:rPr>
              <w:t>л) самовольно подключаться к газораспределительным сетям.</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Охранная зона объектов электросетевого хозяйства (вдоль линий электропередачи, вокруг подстанций)</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Действующие правила по определению охранной зоны для ЛЭП определены согласно </w:t>
            </w:r>
            <w:hyperlink r:id="rId58" w:anchor="1" w:history="1">
              <w:r w:rsidRPr="0042058C">
                <w:rPr>
                  <w:rFonts w:ascii="Times New Roman" w:eastAsia="Calibri" w:hAnsi="Times New Roman" w:cs="Times New Roman"/>
                  <w:bCs/>
                  <w:sz w:val="20"/>
                  <w:szCs w:val="20"/>
                </w:rPr>
                <w:t>постановлению №160 правительства РФ</w:t>
              </w:r>
            </w:hyperlink>
            <w:r w:rsidRPr="0042058C">
              <w:rPr>
                <w:rFonts w:ascii="Times New Roman" w:eastAsia="Calibri" w:hAnsi="Times New Roman" w:cs="Times New Roman"/>
                <w:bCs/>
                <w:sz w:val="20"/>
                <w:szCs w:val="20"/>
              </w:rPr>
              <w:t> от 24 февраля 2009 года. И в общем случае гласят, что охранной зоной для воздушной ЛЭП является вертикальная плоскость на заданном расстоянии </w:t>
            </w:r>
            <w:r w:rsidRPr="0042058C">
              <w:rPr>
                <w:rFonts w:ascii="Times New Roman" w:eastAsia="Calibri" w:hAnsi="Times New Roman" w:cs="Times New Roman"/>
                <w:sz w:val="20"/>
                <w:szCs w:val="20"/>
              </w:rPr>
              <w:t>от крайних проводов</w:t>
            </w:r>
            <w:r w:rsidRPr="0042058C">
              <w:rPr>
                <w:rFonts w:ascii="Times New Roman" w:eastAsia="Calibri" w:hAnsi="Times New Roman" w:cs="Times New Roman"/>
                <w:bCs/>
                <w:sz w:val="20"/>
                <w:szCs w:val="20"/>
              </w:rPr>
              <w:t> силовой линии. Само же расстояние меняется в зависимости от мощности линии. </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воздушных линий в зависимости от мощности они будут составлять:</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до 1 кВт – до 12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1-20 кВт – 10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35 кВт – 15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110 кВт – 20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150-220 кВт – 25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300-500 кВт – 30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750 кВт – 40 м;</w:t>
            </w:r>
          </w:p>
          <w:p w:rsidR="0042058C" w:rsidRPr="0042058C" w:rsidRDefault="0042058C" w:rsidP="00953F17">
            <w:pPr>
              <w:widowControl w:val="0"/>
              <w:numPr>
                <w:ilvl w:val="0"/>
                <w:numId w:val="58"/>
              </w:numPr>
              <w:tabs>
                <w:tab w:val="left" w:pos="301"/>
              </w:tabs>
              <w:autoSpaceDE w:val="0"/>
              <w:autoSpaceDN w:val="0"/>
              <w:adjustRightInd w:val="0"/>
              <w:spacing w:after="160" w:line="256" w:lineRule="auto"/>
              <w:ind w:left="67"/>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1150 кВт – 55 м.</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Если силовые линии проложены в границах населенных пунктов под тротуаром, то:</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до 1 кВт допустимая охранная зона от крайних проводов – 0,6 м до фундамента здания и 1 м до проезжей части.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линий свыше 1 и до 20 кВт – охранная зона составит 5 метров.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местах, где линии ЛЭП пересекают судоходные реки, охранная зона для них составит 100 метров. Для несудоходных рек охранные зоны не меняются.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а) строительство, капитальный ремонт, реконструкция или снос зданий и сооружений;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б) горные, взрывные, мелиоративные работы, в том числе связанные с временным затоплением земель;</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посадка и вырубка деревьев и кустарников;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Охранная зона линий и сооружений связи</w:t>
            </w:r>
          </w:p>
        </w:tc>
        <w:tc>
          <w:tcPr>
            <w:tcW w:w="4137" w:type="pct"/>
            <w:shd w:val="clear" w:color="auto" w:fill="auto"/>
            <w:tcMar>
              <w:left w:w="57" w:type="dxa"/>
              <w:right w:w="57" w:type="dxa"/>
            </w:tcMar>
          </w:tcPr>
          <w:p w:rsidR="0042058C" w:rsidRPr="0042058C" w:rsidRDefault="0042058C" w:rsidP="0042058C">
            <w:pPr>
              <w:widowControl w:val="0"/>
              <w:tabs>
                <w:tab w:val="left" w:pos="211"/>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Охранная зона силовых кабелей всех напряжения и кабелей связи от сети до фундамента здания или сооружения –0,6 м.</w:t>
            </w:r>
          </w:p>
          <w:p w:rsidR="0042058C" w:rsidRPr="0042058C" w:rsidRDefault="0042058C" w:rsidP="00953F17">
            <w:pPr>
              <w:widowControl w:val="0"/>
              <w:numPr>
                <w:ilvl w:val="6"/>
                <w:numId w:val="48"/>
              </w:numPr>
              <w:tabs>
                <w:tab w:val="left" w:pos="211"/>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На трассах кабельных и воздушных линий связи и линий радиофикации устанавливаются охранные зоны с особыми условиями использования:</w:t>
            </w:r>
          </w:p>
          <w:p w:rsidR="0042058C" w:rsidRPr="0042058C" w:rsidRDefault="0042058C" w:rsidP="00953F17">
            <w:pPr>
              <w:widowControl w:val="0"/>
              <w:numPr>
                <w:ilvl w:val="0"/>
                <w:numId w:val="50"/>
              </w:numPr>
              <w:tabs>
                <w:tab w:val="left" w:pos="316"/>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2058C" w:rsidRPr="0042058C" w:rsidRDefault="0042058C" w:rsidP="00953F17">
            <w:pPr>
              <w:widowControl w:val="0"/>
              <w:numPr>
                <w:ilvl w:val="0"/>
                <w:numId w:val="50"/>
              </w:numPr>
              <w:tabs>
                <w:tab w:val="left" w:pos="316"/>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создаются просеки в лесных массивах и зеленых насаждениях:</w:t>
            </w:r>
          </w:p>
          <w:p w:rsidR="0042058C" w:rsidRPr="0042058C" w:rsidRDefault="0042058C" w:rsidP="00953F17">
            <w:pPr>
              <w:widowControl w:val="0"/>
              <w:numPr>
                <w:ilvl w:val="0"/>
                <w:numId w:val="51"/>
              </w:numPr>
              <w:tabs>
                <w:tab w:val="left" w:pos="316"/>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при высоте насаждений не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2058C" w:rsidRPr="0042058C" w:rsidRDefault="0042058C" w:rsidP="00953F17">
            <w:pPr>
              <w:widowControl w:val="0"/>
              <w:numPr>
                <w:ilvl w:val="0"/>
                <w:numId w:val="51"/>
              </w:numPr>
              <w:tabs>
                <w:tab w:val="left" w:pos="316"/>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2058C" w:rsidRPr="0042058C" w:rsidRDefault="0042058C" w:rsidP="00953F17">
            <w:pPr>
              <w:widowControl w:val="0"/>
              <w:numPr>
                <w:ilvl w:val="0"/>
                <w:numId w:val="51"/>
              </w:numPr>
              <w:tabs>
                <w:tab w:val="left" w:pos="316"/>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вдоль трассы кабеля связи – шириной не менее 6 метров (по 3 метра с каждой стороны от кабеля связи);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42058C" w:rsidRPr="0042058C" w:rsidRDefault="0042058C" w:rsidP="0042058C">
            <w:pPr>
              <w:widowControl w:val="0"/>
              <w:tabs>
                <w:tab w:val="left" w:pos="181"/>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 На трассах кабельных линий связи вне черты населенных пунктов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42058C" w:rsidRPr="0042058C" w:rsidRDefault="0042058C" w:rsidP="0042058C">
            <w:pPr>
              <w:widowControl w:val="0"/>
              <w:tabs>
                <w:tab w:val="left" w:pos="33"/>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6.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7.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8.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42058C" w:rsidRPr="0042058C" w:rsidRDefault="0042058C" w:rsidP="0042058C">
            <w:pPr>
              <w:widowControl w:val="0"/>
              <w:tabs>
                <w:tab w:val="left" w:pos="0"/>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9.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 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установленными владельцами сетей и средств связи.</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Охранная зона стационарных пунктов наблюдений за состоянием окружающей среды, ее загрязнением</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 соответствии с Постановлением Правительства Российской Федерации от 27 августа 1999 года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Размеры и границы охранных зон стационарных пунктов наблюдений определяются в зависимости от рельефа местности и других условий.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Первый пояс зоны санитарной охраны источника водоснабжения</w:t>
            </w:r>
          </w:p>
        </w:tc>
        <w:tc>
          <w:tcPr>
            <w:tcW w:w="4137" w:type="pct"/>
            <w:shd w:val="clear" w:color="auto" w:fill="auto"/>
            <w:tcMar>
              <w:left w:w="57" w:type="dxa"/>
              <w:right w:w="57" w:type="dxa"/>
            </w:tcMar>
          </w:tcPr>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 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Второй пояс зоны санитарной охраны источника водоснабжения</w:t>
            </w:r>
          </w:p>
        </w:tc>
        <w:tc>
          <w:tcPr>
            <w:tcW w:w="4137" w:type="pct"/>
            <w:vMerge w:val="restart"/>
            <w:shd w:val="clear" w:color="auto" w:fill="auto"/>
            <w:tcMar>
              <w:left w:w="57" w:type="dxa"/>
              <w:right w:w="57" w:type="dxa"/>
            </w:tcMar>
          </w:tcPr>
          <w:p w:rsidR="0042058C" w:rsidRPr="0042058C" w:rsidRDefault="0042058C" w:rsidP="0042058C">
            <w:pPr>
              <w:widowControl w:val="0"/>
              <w:tabs>
                <w:tab w:val="left" w:pos="322"/>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Мероприятия по второму и третьему поясам:</w:t>
            </w:r>
          </w:p>
          <w:p w:rsidR="0042058C" w:rsidRPr="0042058C" w:rsidRDefault="0042058C" w:rsidP="00953F17">
            <w:pPr>
              <w:widowControl w:val="0"/>
              <w:numPr>
                <w:ilvl w:val="0"/>
                <w:numId w:val="55"/>
              </w:numPr>
              <w:tabs>
                <w:tab w:val="left" w:pos="322"/>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2058C" w:rsidRPr="0042058C" w:rsidRDefault="0042058C" w:rsidP="00953F17">
            <w:pPr>
              <w:widowControl w:val="0"/>
              <w:numPr>
                <w:ilvl w:val="0"/>
                <w:numId w:val="55"/>
              </w:numPr>
              <w:tabs>
                <w:tab w:val="left" w:pos="322"/>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2058C" w:rsidRPr="0042058C" w:rsidRDefault="0042058C" w:rsidP="00953F17">
            <w:pPr>
              <w:widowControl w:val="0"/>
              <w:numPr>
                <w:ilvl w:val="0"/>
                <w:numId w:val="55"/>
              </w:numPr>
              <w:tabs>
                <w:tab w:val="left" w:pos="322"/>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42058C" w:rsidRPr="0042058C" w:rsidRDefault="0042058C" w:rsidP="00953F17">
            <w:pPr>
              <w:widowControl w:val="0"/>
              <w:numPr>
                <w:ilvl w:val="0"/>
                <w:numId w:val="55"/>
              </w:numPr>
              <w:tabs>
                <w:tab w:val="left" w:pos="322"/>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2058C" w:rsidRPr="0042058C" w:rsidRDefault="0042058C" w:rsidP="00D766F3">
            <w:pPr>
              <w:widowControl w:val="0"/>
              <w:tabs>
                <w:tab w:val="left" w:pos="322"/>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42058C" w:rsidRPr="0042058C" w:rsidRDefault="0042058C" w:rsidP="00D766F3">
            <w:pPr>
              <w:shd w:val="clear" w:color="auto" w:fill="FFFFFF"/>
              <w:tabs>
                <w:tab w:val="left" w:pos="322"/>
              </w:tabs>
              <w:spacing w:after="0" w:line="240" w:lineRule="auto"/>
              <w:ind w:firstLine="382"/>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766F3" w:rsidRDefault="00D766F3" w:rsidP="00D766F3">
            <w:pPr>
              <w:shd w:val="clear" w:color="auto" w:fill="FFFFFF"/>
              <w:tabs>
                <w:tab w:val="left" w:pos="322"/>
              </w:tabs>
              <w:spacing w:after="0" w:line="240" w:lineRule="auto"/>
              <w:ind w:firstLine="382"/>
              <w:jc w:val="both"/>
              <w:rPr>
                <w:rFonts w:ascii="Times New Roman" w:eastAsia="Calibri" w:hAnsi="Times New Roman" w:cs="Times New Roman"/>
                <w:bCs/>
                <w:sz w:val="20"/>
                <w:szCs w:val="20"/>
              </w:rPr>
            </w:pPr>
          </w:p>
          <w:p w:rsidR="0042058C" w:rsidRPr="0042058C" w:rsidRDefault="0042058C" w:rsidP="00D766F3">
            <w:pPr>
              <w:shd w:val="clear" w:color="auto" w:fill="FFFFFF"/>
              <w:tabs>
                <w:tab w:val="left" w:pos="322"/>
              </w:tabs>
              <w:spacing w:after="0" w:line="240" w:lineRule="auto"/>
              <w:ind w:firstLine="382"/>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Мероприятия по второму поясу:</w:t>
            </w:r>
          </w:p>
          <w:p w:rsidR="0042058C" w:rsidRPr="0042058C" w:rsidRDefault="0042058C" w:rsidP="00953F17">
            <w:pPr>
              <w:widowControl w:val="0"/>
              <w:numPr>
                <w:ilvl w:val="0"/>
                <w:numId w:val="56"/>
              </w:numPr>
              <w:shd w:val="clear" w:color="auto" w:fill="FFFFFF"/>
              <w:tabs>
                <w:tab w:val="left" w:pos="39"/>
                <w:tab w:val="left" w:pos="322"/>
              </w:tabs>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42058C" w:rsidRPr="0042058C" w:rsidRDefault="0042058C" w:rsidP="00D766F3">
            <w:pPr>
              <w:shd w:val="clear" w:color="auto" w:fill="FFFFFF"/>
              <w:tabs>
                <w:tab w:val="left" w:pos="322"/>
              </w:tabs>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Не допускается:</w:t>
            </w:r>
          </w:p>
          <w:p w:rsidR="0042058C" w:rsidRPr="0042058C" w:rsidRDefault="0042058C" w:rsidP="0042058C">
            <w:pPr>
              <w:shd w:val="clear" w:color="auto" w:fill="FFFFFF"/>
              <w:tabs>
                <w:tab w:val="left" w:pos="322"/>
              </w:tabs>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2058C" w:rsidRPr="0042058C" w:rsidRDefault="0042058C" w:rsidP="0042058C">
            <w:pPr>
              <w:shd w:val="clear" w:color="auto" w:fill="FFFFFF"/>
              <w:tabs>
                <w:tab w:val="left" w:pos="322"/>
              </w:tabs>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применение удобрений и ядохимикатов;</w:t>
            </w:r>
          </w:p>
          <w:p w:rsidR="0042058C" w:rsidRPr="0042058C" w:rsidRDefault="0042058C" w:rsidP="0042058C">
            <w:pPr>
              <w:shd w:val="clear" w:color="auto" w:fill="FFFFFF"/>
              <w:tabs>
                <w:tab w:val="left" w:pos="322"/>
              </w:tabs>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рубка леса главного пользования и реконструкции.</w:t>
            </w:r>
          </w:p>
          <w:p w:rsidR="0042058C" w:rsidRPr="0042058C" w:rsidRDefault="0042058C" w:rsidP="00953F17">
            <w:pPr>
              <w:widowControl w:val="0"/>
              <w:numPr>
                <w:ilvl w:val="0"/>
                <w:numId w:val="56"/>
              </w:numPr>
              <w:shd w:val="clear" w:color="auto" w:fill="FFFFFF"/>
              <w:tabs>
                <w:tab w:val="left" w:pos="322"/>
              </w:tabs>
              <w:autoSpaceDE w:val="0"/>
              <w:autoSpaceDN w:val="0"/>
              <w:adjustRightInd w:val="0"/>
              <w:spacing w:after="160" w:line="256"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Третий пояс зоны санитарной охраны источника водоснабжения</w:t>
            </w:r>
          </w:p>
        </w:tc>
        <w:tc>
          <w:tcPr>
            <w:tcW w:w="4137" w:type="pct"/>
            <w:vMerge/>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Санитарно-защитная полоса водоводов</w:t>
            </w:r>
          </w:p>
        </w:tc>
        <w:tc>
          <w:tcPr>
            <w:tcW w:w="4137" w:type="pct"/>
            <w:shd w:val="clear" w:color="auto" w:fill="auto"/>
            <w:tcMar>
              <w:left w:w="57" w:type="dxa"/>
              <w:right w:w="57" w:type="dxa"/>
            </w:tcMar>
          </w:tcPr>
          <w:p w:rsidR="0042058C" w:rsidRPr="0042058C" w:rsidRDefault="0042058C" w:rsidP="00953F17">
            <w:pPr>
              <w:widowControl w:val="0"/>
              <w:numPr>
                <w:ilvl w:val="0"/>
                <w:numId w:val="57"/>
              </w:numPr>
              <w:tabs>
                <w:tab w:val="left" w:pos="322"/>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В пределах санитарно-защитной полосы водоводов должны отсутствовать источники загрязнения почвы и грунтовых вод. </w:t>
            </w:r>
          </w:p>
          <w:p w:rsidR="0042058C" w:rsidRPr="0042058C" w:rsidRDefault="0042058C" w:rsidP="00953F17">
            <w:pPr>
              <w:widowControl w:val="0"/>
              <w:numPr>
                <w:ilvl w:val="0"/>
                <w:numId w:val="57"/>
              </w:numPr>
              <w:tabs>
                <w:tab w:val="left" w:pos="322"/>
              </w:tabs>
              <w:autoSpaceDE w:val="0"/>
              <w:autoSpaceDN w:val="0"/>
              <w:adjustRightInd w:val="0"/>
              <w:spacing w:after="160" w:line="256"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Охранная зона объекта культурного наследия (временная)</w:t>
            </w:r>
          </w:p>
        </w:tc>
        <w:tc>
          <w:tcPr>
            <w:tcW w:w="4137" w:type="pct"/>
            <w:shd w:val="clear" w:color="auto" w:fill="auto"/>
            <w:tcMar>
              <w:left w:w="57" w:type="dxa"/>
              <w:right w:w="57" w:type="dxa"/>
            </w:tcMar>
          </w:tcPr>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В пределах зоны запрещается:</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строительство новых зданий и сооружений, кроме воссозданных на месте утраченных;</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строительство зданий и сооружений, в том числе и временных с отступом от исторической линии застройки квартала;</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устройство воздушных линий электропередач;</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размещение крупногабаритных рекламных конструкций и вывесок;</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размещение временных объектов, навесов, киосков и других объектов, которые не относятся к обеспечению жизнедеятельности и эксплуатации объекта культурного наследия;</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использование территории и существующих зданий и сооружений для размещения пожароопасных и экологически вредных функций;</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запрещается хозяйственная деятельность, за исключением работ, направленных на обеспечение сохранности памятников культурного наследия.</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Не допускается распространение наружной рекламы на объектах культурного наследия, включённых в реестр, а также на их территориях, за исключением территорий достопримечательных мест. Данное требование не применяется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включённых в реестр, а также требования к её распространению устанавливаются соответствующим органом охраны объектов культурного наследия, определённым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Зона регулирования застройки и хозяйственной деятельности</w:t>
            </w:r>
          </w:p>
        </w:tc>
        <w:tc>
          <w:tcPr>
            <w:tcW w:w="4137" w:type="pct"/>
            <w:shd w:val="clear" w:color="auto" w:fill="auto"/>
            <w:tcMar>
              <w:left w:w="57" w:type="dxa"/>
              <w:right w:w="57" w:type="dxa"/>
            </w:tcMar>
          </w:tcPr>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 Временная зона регулирования застройки и хозяйственной деятельности определена в радиусе 100 м зон памятников истории и культуры. (Приказ министерства культуры Ставропольского края № 42 от 18.04.2003 г.)</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До разработки и утверждения проектов зон охраны памятников археологии или карт-схем их расположения в порядке, установленном законодательством РФ и Ставропольского края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курганы высотой до 1 метра, диаметром до 50 метров – в радиусе 50 метров от основания кургана;</w:t>
            </w:r>
            <w:r w:rsidRPr="0042058C">
              <w:rPr>
                <w:rFonts w:ascii="Times New Roman" w:eastAsia="Calibri" w:hAnsi="Times New Roman" w:cs="Times New Roman"/>
                <w:bCs/>
                <w:sz w:val="20"/>
                <w:szCs w:val="20"/>
              </w:rPr>
              <w:br/>
              <w:t>- курганы высотой от 1 до 2 метров, диаметром до 70 метров – в радиусе 60 метров от основания кургана;</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курганы высотой от 2 до 3 метров, диаметром до 100 метров – в радиусе 90 метров от основания кургана;</w:t>
            </w:r>
            <w:r w:rsidRPr="0042058C">
              <w:rPr>
                <w:rFonts w:ascii="Times New Roman" w:eastAsia="Calibri" w:hAnsi="Times New Roman" w:cs="Times New Roman"/>
                <w:bCs/>
                <w:sz w:val="20"/>
                <w:szCs w:val="20"/>
              </w:rPr>
              <w:br/>
              <w:t>- курганы высотой свыше 3 метров, диаметром более 100 метров – определяется индивидуально, но не менее 100 метров;</w:t>
            </w:r>
          </w:p>
          <w:p w:rsidR="0042058C" w:rsidRPr="0042058C" w:rsidRDefault="0042058C" w:rsidP="0042058C">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Защитная зона объекта культурного наследия</w:t>
            </w:r>
          </w:p>
        </w:tc>
        <w:tc>
          <w:tcPr>
            <w:tcW w:w="4137" w:type="pct"/>
            <w:shd w:val="clear" w:color="auto" w:fill="auto"/>
            <w:tcMar>
              <w:left w:w="57" w:type="dxa"/>
              <w:right w:w="57" w:type="dxa"/>
            </w:tcMar>
          </w:tcPr>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В соответствии с п. 3 ст. 34.1 Федерального закона от 25 июня 2002 г.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bookmarkStart w:id="145" w:name="dst856"/>
            <w:bookmarkEnd w:id="145"/>
            <w:r w:rsidRPr="0042058C">
              <w:rPr>
                <w:rFonts w:ascii="Times New Roman" w:eastAsia="Helvetica Neue Light" w:hAnsi="Times New Roman" w:cs="Times New Roman"/>
                <w:spacing w:val="-6"/>
                <w:sz w:val="20"/>
                <w:szCs w:val="20"/>
                <w:bdr w:val="nil"/>
                <w:lang w:eastAsia="ru-RU"/>
              </w:rPr>
              <w:t>:</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2058C" w:rsidRPr="0042058C" w:rsidRDefault="0042058C" w:rsidP="0042058C">
            <w:pPr>
              <w:widowControl w:val="0"/>
              <w:pBdr>
                <w:top w:val="nil"/>
                <w:left w:val="nil"/>
                <w:bottom w:val="nil"/>
                <w:right w:val="nil"/>
                <w:between w:val="nil"/>
                <w:bar w:val="nil"/>
              </w:pBdr>
              <w:tabs>
                <w:tab w:val="left" w:pos="424"/>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 w:val="left" w:pos="11040"/>
              </w:tabs>
              <w:spacing w:after="0" w:line="240" w:lineRule="auto"/>
              <w:jc w:val="both"/>
              <w:rPr>
                <w:rFonts w:ascii="Times New Roman" w:eastAsia="Helvetica Neue Light" w:hAnsi="Times New Roman" w:cs="Times New Roman"/>
                <w:spacing w:val="-6"/>
                <w:sz w:val="20"/>
                <w:szCs w:val="20"/>
                <w:bdr w:val="nil"/>
                <w:lang w:eastAsia="ru-RU"/>
              </w:rPr>
            </w:pPr>
            <w:r w:rsidRPr="0042058C">
              <w:rPr>
                <w:rFonts w:ascii="Times New Roman" w:eastAsia="Helvetica Neue Light" w:hAnsi="Times New Roman" w:cs="Times New Roman"/>
                <w:spacing w:val="-6"/>
                <w:sz w:val="20"/>
                <w:szCs w:val="20"/>
                <w:bdr w:val="nil"/>
                <w:lang w:eastAsia="ru-RU"/>
              </w:rPr>
              <w:t>Исторически ценные градоформирующие объекты, расположенные на территории зоны при проведении капитального ремонта или реконструкции, должны быть предварительно обследованы с целью выявления ценных архитектурных элементов, подлежащих сохранению при ремонте и реконструкции. Снос здания и сооружений, отнесённых к исторически ценным градоформирующим объектам возможен при согласовании с уполномоченным органом охраны памятников в случае аварийного или предаварийного состояния конструкций.</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Во</w:t>
            </w:r>
            <w:r w:rsidRPr="0042058C">
              <w:rPr>
                <w:rFonts w:ascii="Times New Roman" w:eastAsia="Calibri" w:hAnsi="Times New Roman" w:cs="Times New Roman"/>
                <w:w w:val="102"/>
                <w:sz w:val="20"/>
                <w:szCs w:val="20"/>
              </w:rPr>
              <w:t>до</w:t>
            </w:r>
            <w:r w:rsidRPr="0042058C">
              <w:rPr>
                <w:rFonts w:ascii="Times New Roman" w:eastAsia="Calibri" w:hAnsi="Times New Roman" w:cs="Times New Roman"/>
                <w:sz w:val="20"/>
                <w:szCs w:val="20"/>
              </w:rPr>
              <w:t>охранна</w:t>
            </w:r>
            <w:r w:rsidRPr="0042058C">
              <w:rPr>
                <w:rFonts w:ascii="Times New Roman" w:eastAsia="Calibri" w:hAnsi="Times New Roman" w:cs="Times New Roman"/>
                <w:w w:val="102"/>
                <w:sz w:val="20"/>
                <w:szCs w:val="20"/>
              </w:rPr>
              <w:t xml:space="preserve">я </w:t>
            </w:r>
            <w:r w:rsidRPr="0042058C">
              <w:rPr>
                <w:rFonts w:ascii="Times New Roman" w:eastAsia="Calibri" w:hAnsi="Times New Roman" w:cs="Times New Roman"/>
                <w:sz w:val="20"/>
                <w:szCs w:val="20"/>
              </w:rPr>
              <w:t>зона</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Ширина водоохранной зоны рек или ручьев устанавливается от их истока для рек или ручьев протяженностью:</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bookmarkStart w:id="146" w:name="dst100576"/>
            <w:bookmarkEnd w:id="146"/>
            <w:r w:rsidRPr="0042058C">
              <w:rPr>
                <w:rFonts w:ascii="Times New Roman" w:eastAsia="Calibri" w:hAnsi="Times New Roman" w:cs="Times New Roman"/>
                <w:sz w:val="20"/>
                <w:szCs w:val="20"/>
              </w:rPr>
              <w:t>1) до десяти километров – в размере пятидесяти метров;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bookmarkStart w:id="147" w:name="dst100577"/>
            <w:bookmarkEnd w:id="147"/>
            <w:r w:rsidRPr="0042058C">
              <w:rPr>
                <w:rFonts w:ascii="Times New Roman" w:eastAsia="Calibri" w:hAnsi="Times New Roman" w:cs="Times New Roman"/>
                <w:sz w:val="20"/>
                <w:szCs w:val="20"/>
              </w:rPr>
              <w:t>2) от десяти до пятидесяти километров – в размере ста метров;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bookmarkStart w:id="148" w:name="dst100578"/>
            <w:bookmarkEnd w:id="148"/>
            <w:r w:rsidRPr="0042058C">
              <w:rPr>
                <w:rFonts w:ascii="Times New Roman" w:eastAsia="Calibri" w:hAnsi="Times New Roman" w:cs="Times New Roman"/>
                <w:sz w:val="20"/>
                <w:szCs w:val="20"/>
              </w:rPr>
              <w:t>3) от пятидесяти километров и более – в размере двухсот метров.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В границах водоохранных зон </w:t>
            </w:r>
            <w:r w:rsidRPr="0042058C">
              <w:rPr>
                <w:rFonts w:ascii="Times New Roman" w:eastAsia="Calibri" w:hAnsi="Times New Roman" w:cs="Times New Roman"/>
                <w:w w:val="104"/>
                <w:sz w:val="20"/>
                <w:szCs w:val="20"/>
              </w:rPr>
              <w:t>за</w:t>
            </w:r>
            <w:r w:rsidRPr="0042058C">
              <w:rPr>
                <w:rFonts w:ascii="Times New Roman" w:eastAsia="Calibri" w:hAnsi="Times New Roman" w:cs="Times New Roman"/>
                <w:w w:val="102"/>
                <w:sz w:val="20"/>
                <w:szCs w:val="20"/>
              </w:rPr>
              <w:t>п</w:t>
            </w:r>
            <w:r w:rsidRPr="0042058C">
              <w:rPr>
                <w:rFonts w:ascii="Times New Roman" w:eastAsia="Calibri" w:hAnsi="Times New Roman" w:cs="Times New Roman"/>
                <w:sz w:val="20"/>
                <w:szCs w:val="20"/>
              </w:rPr>
              <w:t>ре</w:t>
            </w:r>
            <w:r w:rsidRPr="0042058C">
              <w:rPr>
                <w:rFonts w:ascii="Times New Roman" w:eastAsia="Calibri" w:hAnsi="Times New Roman" w:cs="Times New Roman"/>
                <w:w w:val="96"/>
                <w:sz w:val="20"/>
                <w:szCs w:val="20"/>
              </w:rPr>
              <w:t>щ</w:t>
            </w:r>
            <w:r w:rsidRPr="0042058C">
              <w:rPr>
                <w:rFonts w:ascii="Times New Roman" w:eastAsia="Calibri" w:hAnsi="Times New Roman" w:cs="Times New Roman"/>
                <w:sz w:val="20"/>
                <w:szCs w:val="20"/>
              </w:rPr>
              <w:t>а</w:t>
            </w:r>
            <w:r w:rsidRPr="0042058C">
              <w:rPr>
                <w:rFonts w:ascii="Times New Roman" w:eastAsia="Calibri" w:hAnsi="Times New Roman" w:cs="Times New Roman"/>
                <w:w w:val="103"/>
                <w:sz w:val="20"/>
                <w:szCs w:val="20"/>
              </w:rPr>
              <w:t>ется</w:t>
            </w:r>
            <w:r w:rsidRPr="0042058C">
              <w:rPr>
                <w:rFonts w:ascii="Times New Roman" w:eastAsia="Calibri" w:hAnsi="Times New Roman" w:cs="Times New Roman"/>
                <w:w w:val="99"/>
                <w:sz w:val="20"/>
                <w:szCs w:val="20"/>
              </w:rPr>
              <w:t>:</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w w:val="99"/>
                <w:sz w:val="20"/>
                <w:szCs w:val="20"/>
              </w:rPr>
            </w:pPr>
            <w:r w:rsidRPr="0042058C">
              <w:rPr>
                <w:rFonts w:ascii="Times New Roman" w:eastAsia="Calibri" w:hAnsi="Times New Roman" w:cs="Times New Roman"/>
                <w:sz w:val="20"/>
                <w:szCs w:val="20"/>
              </w:rPr>
              <w:t xml:space="preserve">1) использование сточных вод для удобрения </w:t>
            </w:r>
            <w:r w:rsidRPr="0042058C">
              <w:rPr>
                <w:rFonts w:ascii="Times New Roman" w:eastAsia="Calibri" w:hAnsi="Times New Roman" w:cs="Times New Roman"/>
                <w:w w:val="102"/>
                <w:sz w:val="20"/>
                <w:szCs w:val="20"/>
              </w:rPr>
              <w:t>п</w:t>
            </w:r>
            <w:r w:rsidRPr="0042058C">
              <w:rPr>
                <w:rFonts w:ascii="Times New Roman" w:eastAsia="Calibri" w:hAnsi="Times New Roman" w:cs="Times New Roman"/>
                <w:sz w:val="20"/>
                <w:szCs w:val="20"/>
              </w:rPr>
              <w:t>о</w:t>
            </w:r>
            <w:r w:rsidRPr="0042058C">
              <w:rPr>
                <w:rFonts w:ascii="Times New Roman" w:eastAsia="Calibri" w:hAnsi="Times New Roman" w:cs="Times New Roman"/>
                <w:w w:val="103"/>
                <w:sz w:val="20"/>
                <w:szCs w:val="20"/>
              </w:rPr>
              <w:t>чв</w:t>
            </w:r>
            <w:r w:rsidRPr="0042058C">
              <w:rPr>
                <w:rFonts w:ascii="Times New Roman" w:eastAsia="Calibri" w:hAnsi="Times New Roman" w:cs="Times New Roman"/>
                <w:w w:val="99"/>
                <w:sz w:val="20"/>
                <w:szCs w:val="20"/>
              </w:rPr>
              <w:t>;</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w w:val="99"/>
                <w:sz w:val="20"/>
                <w:szCs w:val="20"/>
              </w:rPr>
            </w:pPr>
            <w:r w:rsidRPr="0042058C">
              <w:rPr>
                <w:rFonts w:ascii="Times New Roman" w:eastAsia="Calibri" w:hAnsi="Times New Roman" w:cs="Times New Roman"/>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3) осуществление авиационных мер по борьбе с вредителями и болезнями ра</w:t>
            </w:r>
            <w:r w:rsidRPr="0042058C">
              <w:rPr>
                <w:rFonts w:ascii="Times New Roman" w:eastAsia="Calibri" w:hAnsi="Times New Roman" w:cs="Times New Roman"/>
                <w:w w:val="102"/>
                <w:sz w:val="20"/>
                <w:szCs w:val="20"/>
              </w:rPr>
              <w:t>сте</w:t>
            </w:r>
            <w:r w:rsidRPr="0042058C">
              <w:rPr>
                <w:rFonts w:ascii="Times New Roman" w:eastAsia="Calibri" w:hAnsi="Times New Roman" w:cs="Times New Roman"/>
                <w:sz w:val="20"/>
                <w:szCs w:val="20"/>
              </w:rPr>
              <w:t>н</w:t>
            </w:r>
            <w:r w:rsidRPr="0042058C">
              <w:rPr>
                <w:rFonts w:ascii="Times New Roman" w:eastAsia="Calibri" w:hAnsi="Times New Roman" w:cs="Times New Roman"/>
                <w:w w:val="104"/>
                <w:sz w:val="20"/>
                <w:szCs w:val="20"/>
              </w:rPr>
              <w:t>ий</w:t>
            </w:r>
            <w:r w:rsidRPr="0042058C">
              <w:rPr>
                <w:rFonts w:ascii="Times New Roman" w:eastAsia="Calibri" w:hAnsi="Times New Roman" w:cs="Times New Roman"/>
                <w:w w:val="99"/>
                <w:sz w:val="20"/>
                <w:szCs w:val="20"/>
              </w:rPr>
              <w:t>;</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4) движение и стоянка транспортных средств (кроме специальных транспортных средств), за исключением их движения </w:t>
            </w:r>
            <w:r w:rsidRPr="0042058C">
              <w:rPr>
                <w:rFonts w:ascii="Times New Roman" w:eastAsia="Calibri" w:hAnsi="Times New Roman" w:cs="Times New Roman"/>
                <w:w w:val="102"/>
                <w:sz w:val="20"/>
                <w:szCs w:val="20"/>
              </w:rPr>
              <w:t>п</w:t>
            </w:r>
            <w:r w:rsidRPr="0042058C">
              <w:rPr>
                <w:rFonts w:ascii="Times New Roman" w:eastAsia="Calibri" w:hAnsi="Times New Roman" w:cs="Times New Roman"/>
                <w:sz w:val="20"/>
                <w:szCs w:val="20"/>
              </w:rPr>
              <w:t xml:space="preserve">о дорогам и стоянки на дорогах и в специально оборудованных местах, имеющих твёрдое </w:t>
            </w:r>
            <w:r w:rsidRPr="0042058C">
              <w:rPr>
                <w:rFonts w:ascii="Times New Roman" w:eastAsia="Calibri" w:hAnsi="Times New Roman" w:cs="Times New Roman"/>
                <w:w w:val="102"/>
                <w:sz w:val="20"/>
                <w:szCs w:val="20"/>
              </w:rPr>
              <w:t>п</w:t>
            </w:r>
            <w:r w:rsidRPr="0042058C">
              <w:rPr>
                <w:rFonts w:ascii="Times New Roman" w:eastAsia="Calibri" w:hAnsi="Times New Roman" w:cs="Times New Roman"/>
                <w:sz w:val="20"/>
                <w:szCs w:val="20"/>
              </w:rPr>
              <w:t>о</w:t>
            </w:r>
            <w:r w:rsidRPr="0042058C">
              <w:rPr>
                <w:rFonts w:ascii="Times New Roman" w:eastAsia="Calibri" w:hAnsi="Times New Roman" w:cs="Times New Roman"/>
                <w:w w:val="125"/>
                <w:sz w:val="20"/>
                <w:szCs w:val="20"/>
              </w:rPr>
              <w:t>к</w:t>
            </w:r>
            <w:r w:rsidRPr="0042058C">
              <w:rPr>
                <w:rFonts w:ascii="Times New Roman" w:eastAsia="Calibri" w:hAnsi="Times New Roman" w:cs="Times New Roman"/>
                <w:sz w:val="20"/>
                <w:szCs w:val="20"/>
              </w:rPr>
              <w:t>ры</w:t>
            </w:r>
            <w:r w:rsidRPr="0042058C">
              <w:rPr>
                <w:rFonts w:ascii="Times New Roman" w:eastAsia="Calibri" w:hAnsi="Times New Roman" w:cs="Times New Roman"/>
                <w:w w:val="106"/>
                <w:sz w:val="20"/>
                <w:szCs w:val="20"/>
              </w:rPr>
              <w:t>ти</w:t>
            </w:r>
            <w:r w:rsidRPr="0042058C">
              <w:rPr>
                <w:rFonts w:ascii="Times New Roman" w:eastAsia="Calibri" w:hAnsi="Times New Roman" w:cs="Times New Roman"/>
                <w:sz w:val="20"/>
                <w:szCs w:val="20"/>
              </w:rPr>
              <w:t>е</w:t>
            </w:r>
            <w:r w:rsidRPr="0042058C">
              <w:rPr>
                <w:rFonts w:ascii="Times New Roman" w:eastAsia="Calibri" w:hAnsi="Times New Roman" w:cs="Times New Roman"/>
                <w:w w:val="99"/>
                <w:sz w:val="20"/>
                <w:szCs w:val="20"/>
              </w:rPr>
              <w:t>.</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Запрещено проведение без согласования с бассейновыми и другими территориальными органами управления и с пользованием </w:t>
            </w:r>
            <w:r w:rsidRPr="0042058C">
              <w:rPr>
                <w:rFonts w:ascii="Times New Roman" w:eastAsia="Calibri" w:hAnsi="Times New Roman" w:cs="Times New Roman"/>
                <w:w w:val="104"/>
                <w:sz w:val="20"/>
                <w:szCs w:val="20"/>
              </w:rPr>
              <w:t xml:space="preserve">и </w:t>
            </w:r>
            <w:r w:rsidRPr="0042058C">
              <w:rPr>
                <w:rFonts w:ascii="Times New Roman" w:eastAsia="Calibri" w:hAnsi="Times New Roman" w:cs="Times New Roman"/>
                <w:sz w:val="20"/>
                <w:szCs w:val="20"/>
              </w:rPr>
              <w:t>охраной водного фонда Министерства природных ресурсов Российской Федерации строительства и реконструкции зданий, соор</w:t>
            </w:r>
            <w:r w:rsidRPr="0042058C">
              <w:rPr>
                <w:rFonts w:ascii="Times New Roman" w:eastAsia="Calibri" w:hAnsi="Times New Roman" w:cs="Times New Roman"/>
                <w:w w:val="109"/>
                <w:sz w:val="20"/>
                <w:szCs w:val="20"/>
              </w:rPr>
              <w:t>уж</w:t>
            </w:r>
            <w:r w:rsidRPr="0042058C">
              <w:rPr>
                <w:rFonts w:ascii="Times New Roman" w:eastAsia="Calibri" w:hAnsi="Times New Roman" w:cs="Times New Roman"/>
                <w:sz w:val="20"/>
                <w:szCs w:val="20"/>
              </w:rPr>
              <w:t>ен</w:t>
            </w:r>
            <w:r w:rsidRPr="0042058C">
              <w:rPr>
                <w:rFonts w:ascii="Times New Roman" w:eastAsia="Calibri" w:hAnsi="Times New Roman" w:cs="Times New Roman"/>
                <w:w w:val="104"/>
                <w:sz w:val="20"/>
                <w:szCs w:val="20"/>
              </w:rPr>
              <w:t>ий</w:t>
            </w:r>
            <w:r w:rsidRPr="0042058C">
              <w:rPr>
                <w:rFonts w:ascii="Times New Roman" w:eastAsia="Calibri" w:hAnsi="Times New Roman" w:cs="Times New Roman"/>
                <w:w w:val="99"/>
                <w:sz w:val="20"/>
                <w:szCs w:val="20"/>
              </w:rPr>
              <w:t xml:space="preserve">, </w:t>
            </w:r>
            <w:r w:rsidRPr="0042058C">
              <w:rPr>
                <w:rFonts w:ascii="Times New Roman" w:eastAsia="Calibri" w:hAnsi="Times New Roman" w:cs="Times New Roman"/>
                <w:sz w:val="20"/>
                <w:szCs w:val="20"/>
              </w:rPr>
              <w:t>коммуникаций и других объектов, а также землеройных и других ра</w:t>
            </w:r>
            <w:r w:rsidRPr="0042058C">
              <w:rPr>
                <w:rFonts w:ascii="Times New Roman" w:eastAsia="Calibri" w:hAnsi="Times New Roman" w:cs="Times New Roman"/>
                <w:w w:val="97"/>
                <w:sz w:val="20"/>
                <w:szCs w:val="20"/>
              </w:rPr>
              <w:t>б</w:t>
            </w:r>
            <w:r w:rsidRPr="0042058C">
              <w:rPr>
                <w:rFonts w:ascii="Times New Roman" w:eastAsia="Calibri" w:hAnsi="Times New Roman" w:cs="Times New Roman"/>
                <w:sz w:val="20"/>
                <w:szCs w:val="20"/>
              </w:rPr>
              <w:t>о</w:t>
            </w:r>
            <w:r w:rsidRPr="0042058C">
              <w:rPr>
                <w:rFonts w:ascii="Times New Roman" w:eastAsia="Calibri" w:hAnsi="Times New Roman" w:cs="Times New Roman"/>
                <w:w w:val="109"/>
                <w:sz w:val="20"/>
                <w:szCs w:val="20"/>
              </w:rPr>
              <w:t>т</w:t>
            </w:r>
            <w:r w:rsidRPr="0042058C">
              <w:rPr>
                <w:rFonts w:ascii="Times New Roman" w:eastAsia="Calibri" w:hAnsi="Times New Roman" w:cs="Times New Roman"/>
                <w:w w:val="99"/>
                <w:sz w:val="20"/>
                <w:szCs w:val="20"/>
              </w:rPr>
              <w:t>.</w:t>
            </w:r>
          </w:p>
          <w:p w:rsidR="0042058C" w:rsidRPr="0042058C" w:rsidRDefault="0042058C" w:rsidP="0042058C">
            <w:pPr>
              <w:widowControl w:val="0"/>
              <w:spacing w:after="0" w:line="240" w:lineRule="auto"/>
              <w:jc w:val="both"/>
              <w:rPr>
                <w:rFonts w:ascii="Times New Roman" w:eastAsia="Cambria" w:hAnsi="Times New Roman" w:cs="Times New Roman"/>
                <w:sz w:val="20"/>
                <w:szCs w:val="20"/>
              </w:rPr>
            </w:pPr>
            <w:r w:rsidRPr="0042058C">
              <w:rPr>
                <w:rFonts w:ascii="Times New Roman" w:eastAsia="Cambria" w:hAnsi="Times New Roman" w:cs="Times New Roman"/>
                <w:sz w:val="20"/>
                <w:szCs w:val="20"/>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42058C" w:rsidRPr="0042058C" w:rsidRDefault="0042058C" w:rsidP="0042058C">
            <w:pPr>
              <w:widowControl w:val="0"/>
              <w:spacing w:after="0" w:line="240" w:lineRule="auto"/>
              <w:jc w:val="both"/>
              <w:rPr>
                <w:rFonts w:ascii="Times New Roman" w:eastAsia="Cambria" w:hAnsi="Times New Roman" w:cs="Times New Roman"/>
                <w:sz w:val="20"/>
                <w:szCs w:val="20"/>
              </w:rPr>
            </w:pPr>
            <w:r w:rsidRPr="0042058C">
              <w:rPr>
                <w:rFonts w:ascii="Times New Roman" w:eastAsia="Cambria" w:hAnsi="Times New Roman" w:cs="Times New Roman"/>
                <w:sz w:val="20"/>
                <w:szCs w:val="20"/>
              </w:rPr>
              <w:t xml:space="preserve">Запрещено размещение производственных, складских и коммунальных объектов, объектов автотранспорта, автостоянок. </w:t>
            </w:r>
          </w:p>
          <w:p w:rsidR="0042058C" w:rsidRPr="0042058C" w:rsidRDefault="0042058C" w:rsidP="0042058C">
            <w:pPr>
              <w:widowControl w:val="0"/>
              <w:spacing w:after="0" w:line="240" w:lineRule="auto"/>
              <w:jc w:val="both"/>
              <w:rPr>
                <w:rFonts w:ascii="Times New Roman" w:eastAsia="Calibri" w:hAnsi="Times New Roman" w:cs="Times New Roman"/>
                <w:sz w:val="20"/>
                <w:szCs w:val="20"/>
              </w:rPr>
            </w:pPr>
            <w:r w:rsidRPr="0042058C">
              <w:rPr>
                <w:rFonts w:ascii="Times New Roman" w:eastAsia="Cambria" w:hAnsi="Times New Roman" w:cs="Times New Roman"/>
                <w:sz w:val="20"/>
                <w:szCs w:val="20"/>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в соответствии с водным законодательством и законодательством в области охраны окружающей среды.</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Прибрежная защитная полоса</w:t>
            </w:r>
          </w:p>
        </w:tc>
        <w:tc>
          <w:tcPr>
            <w:tcW w:w="4137" w:type="pct"/>
            <w:shd w:val="clear" w:color="auto" w:fill="auto"/>
            <w:tcMar>
              <w:left w:w="57" w:type="dxa"/>
              <w:right w:w="57" w:type="dxa"/>
            </w:tcMar>
          </w:tcPr>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Применяются ограничения, установленные для водоохранных зон. Наряду с ними запрещаются:</w:t>
            </w:r>
          </w:p>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1) распашка земель;</w:t>
            </w:r>
          </w:p>
          <w:p w:rsidR="0042058C" w:rsidRPr="0042058C" w:rsidRDefault="0042058C" w:rsidP="0042058C">
            <w:pPr>
              <w:pBdr>
                <w:between w:val="nil"/>
              </w:pBdr>
              <w:spacing w:after="0" w:line="240" w:lineRule="auto"/>
              <w:jc w:val="both"/>
              <w:rPr>
                <w:rFonts w:ascii="Times New Roman" w:eastAsia="Helvetica Neue Light" w:hAnsi="Times New Roman" w:cs="Times New Roman"/>
                <w:bCs/>
                <w:color w:val="0D0D0D"/>
                <w:sz w:val="20"/>
                <w:szCs w:val="20"/>
                <w:bdr w:val="nil"/>
                <w:lang w:eastAsia="ru-RU"/>
              </w:rPr>
            </w:pPr>
            <w:r w:rsidRPr="0042058C">
              <w:rPr>
                <w:rFonts w:ascii="Times New Roman" w:eastAsia="Helvetica Neue Light" w:hAnsi="Times New Roman" w:cs="Times New Roman"/>
                <w:bCs/>
                <w:color w:val="0D0D0D"/>
                <w:sz w:val="20"/>
                <w:szCs w:val="20"/>
                <w:bdr w:val="nil"/>
                <w:lang w:eastAsia="ru-RU"/>
              </w:rPr>
              <w:t>2) размещение отвалов размываемых грунтов;</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color w:val="0D0D0D"/>
                <w:sz w:val="20"/>
                <w:szCs w:val="20"/>
              </w:rPr>
              <w:t>3) выпас сельскохозяйственных животных и организация для них летних лагерей, ванн.</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Береговая полоса</w:t>
            </w:r>
          </w:p>
        </w:tc>
        <w:tc>
          <w:tcPr>
            <w:tcW w:w="4137"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Согласно п. 6 ст. 6 Водного кодекса Российской Федерации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рек и ручьев, протяженность которых от истока до устья не более чем 10 км, составляет 5 м. </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sz w:val="20"/>
                <w:szCs w:val="20"/>
              </w:rPr>
              <w:t>Информация об ограничении водопользования на водных объектах общего пользования предоставляется жителям соответствующих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tc>
      </w:tr>
      <w:tr w:rsidR="0042058C" w:rsidRPr="0042058C" w:rsidTr="0042058C">
        <w:tc>
          <w:tcPr>
            <w:tcW w:w="863" w:type="pct"/>
            <w:shd w:val="clear" w:color="auto" w:fill="auto"/>
            <w:tcMar>
              <w:left w:w="57" w:type="dxa"/>
              <w:right w:w="57" w:type="dxa"/>
            </w:tcMar>
          </w:tcPr>
          <w:p w:rsidR="0042058C" w:rsidRPr="0042058C" w:rsidRDefault="0042058C" w:rsidP="0042058C">
            <w:pPr>
              <w:widowControl w:val="0"/>
              <w:autoSpaceDE w:val="0"/>
              <w:autoSpaceDN w:val="0"/>
              <w:adjustRightInd w:val="0"/>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Придорожная полоса</w:t>
            </w:r>
          </w:p>
        </w:tc>
        <w:tc>
          <w:tcPr>
            <w:tcW w:w="4137" w:type="pct"/>
            <w:shd w:val="clear" w:color="auto" w:fill="auto"/>
            <w:tcMar>
              <w:left w:w="57" w:type="dxa"/>
              <w:right w:w="57" w:type="dxa"/>
            </w:tcMar>
          </w:tcPr>
          <w:p w:rsidR="0042058C" w:rsidRPr="0042058C" w:rsidRDefault="0042058C" w:rsidP="0042058C">
            <w:pPr>
              <w:widowControl w:val="0"/>
              <w:pBdr>
                <w:between w:val="nil"/>
              </w:pBdr>
              <w:autoSpaceDE w:val="0"/>
              <w:autoSpaceDN w:val="0"/>
              <w:adjustRightInd w:val="0"/>
              <w:spacing w:after="0" w:line="240" w:lineRule="auto"/>
              <w:jc w:val="both"/>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2058C" w:rsidRPr="0042058C" w:rsidRDefault="0042058C" w:rsidP="0042058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058C">
              <w:rPr>
                <w:rFonts w:ascii="Times New Roman" w:eastAsia="Calibri" w:hAnsi="Times New Roman" w:cs="Times New Roman"/>
                <w:bCs/>
                <w:sz w:val="20"/>
                <w:szCs w:val="20"/>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ч. 8 ст. 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tc>
      </w:tr>
    </w:tbl>
    <w:p w:rsidR="00D910A1" w:rsidRDefault="00D910A1"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D910A1" w:rsidRDefault="00D910A1"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D910A1" w:rsidRDefault="00D910A1"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CD70A7" w:rsidRDefault="00CD70A7"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CD70A7" w:rsidRDefault="00CD70A7"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D207BE" w:rsidRDefault="00D207BE" w:rsidP="0042058C">
      <w:pPr>
        <w:widowControl w:val="0"/>
        <w:autoSpaceDE w:val="0"/>
        <w:autoSpaceDN w:val="0"/>
        <w:spacing w:after="0" w:line="240" w:lineRule="auto"/>
        <w:ind w:left="4962" w:firstLine="992"/>
        <w:outlineLvl w:val="1"/>
        <w:rPr>
          <w:rFonts w:ascii="Times New Roman" w:eastAsia="Times New Roman" w:hAnsi="Times New Roman" w:cs="Times New Roman"/>
          <w:sz w:val="28"/>
          <w:szCs w:val="28"/>
          <w:lang w:eastAsia="ru-RU"/>
        </w:rPr>
      </w:pPr>
    </w:p>
    <w:p w:rsidR="0042058C" w:rsidRPr="0042058C" w:rsidRDefault="0042058C" w:rsidP="00CD70A7">
      <w:pPr>
        <w:widowControl w:val="0"/>
        <w:autoSpaceDE w:val="0"/>
        <w:autoSpaceDN w:val="0"/>
        <w:spacing w:after="0" w:line="240" w:lineRule="auto"/>
        <w:ind w:left="4820"/>
        <w:jc w:val="center"/>
        <w:outlineLvl w:val="1"/>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Приложение № 6</w:t>
      </w:r>
    </w:p>
    <w:p w:rsidR="0042058C" w:rsidRPr="0042058C" w:rsidRDefault="0042058C" w:rsidP="00CD70A7">
      <w:pPr>
        <w:autoSpaceDE w:val="0"/>
        <w:autoSpaceDN w:val="0"/>
        <w:adjustRightInd w:val="0"/>
        <w:spacing w:after="0" w:line="240" w:lineRule="exact"/>
        <w:ind w:left="4820"/>
        <w:jc w:val="both"/>
        <w:rPr>
          <w:rFonts w:ascii="Times New Roman" w:eastAsia="Times New Roman" w:hAnsi="Times New Roman" w:cs="Times New Roman"/>
          <w:sz w:val="28"/>
          <w:szCs w:val="28"/>
          <w:lang w:eastAsia="ru-RU"/>
        </w:rPr>
      </w:pPr>
    </w:p>
    <w:p w:rsidR="00CD70A7" w:rsidRDefault="0042058C" w:rsidP="00CD70A7">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к </w:t>
      </w:r>
      <w:r w:rsidR="00D910A1" w:rsidRPr="00D910A1">
        <w:rPr>
          <w:rFonts w:ascii="Times New Roman" w:eastAsia="Times New Roman" w:hAnsi="Times New Roman" w:cs="Times New Roman"/>
          <w:sz w:val="28"/>
          <w:szCs w:val="28"/>
          <w:lang w:eastAsia="ru-RU"/>
        </w:rPr>
        <w:t>генерально</w:t>
      </w:r>
      <w:r w:rsidR="00CD70A7">
        <w:rPr>
          <w:rFonts w:ascii="Times New Roman" w:eastAsia="Times New Roman" w:hAnsi="Times New Roman" w:cs="Times New Roman"/>
          <w:sz w:val="28"/>
          <w:szCs w:val="28"/>
          <w:lang w:eastAsia="ru-RU"/>
        </w:rPr>
        <w:t>му</w:t>
      </w:r>
      <w:r w:rsidR="00D910A1" w:rsidRPr="00D910A1">
        <w:rPr>
          <w:rFonts w:ascii="Times New Roman" w:eastAsia="Times New Roman" w:hAnsi="Times New Roman" w:cs="Times New Roman"/>
          <w:sz w:val="28"/>
          <w:szCs w:val="28"/>
          <w:lang w:eastAsia="ru-RU"/>
        </w:rPr>
        <w:t xml:space="preserve"> план</w:t>
      </w:r>
      <w:r w:rsidR="00CD70A7">
        <w:rPr>
          <w:rFonts w:ascii="Times New Roman" w:eastAsia="Times New Roman" w:hAnsi="Times New Roman" w:cs="Times New Roman"/>
          <w:sz w:val="28"/>
          <w:szCs w:val="28"/>
          <w:lang w:eastAsia="ru-RU"/>
        </w:rPr>
        <w:t>у</w:t>
      </w:r>
    </w:p>
    <w:p w:rsidR="0042058C" w:rsidRPr="0042058C" w:rsidRDefault="0042058C" w:rsidP="00CD70A7">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Труновского муниципального округа Ставропольского края</w:t>
      </w:r>
    </w:p>
    <w:p w:rsidR="0042058C" w:rsidRPr="0042058C" w:rsidRDefault="0042058C" w:rsidP="00CD70A7">
      <w:pPr>
        <w:autoSpaceDE w:val="0"/>
        <w:autoSpaceDN w:val="0"/>
        <w:adjustRightInd w:val="0"/>
        <w:spacing w:after="0" w:line="240" w:lineRule="exact"/>
        <w:ind w:left="4820"/>
        <w:rPr>
          <w:rFonts w:ascii="Times New Roman" w:eastAsia="Times New Roman" w:hAnsi="Times New Roman" w:cs="Times New Roman"/>
          <w:sz w:val="28"/>
          <w:szCs w:val="28"/>
          <w:lang w:eastAsia="ru-RU"/>
        </w:rPr>
      </w:pPr>
    </w:p>
    <w:p w:rsidR="0042058C" w:rsidRPr="0042058C" w:rsidRDefault="0042058C" w:rsidP="00CD70A7">
      <w:pPr>
        <w:autoSpaceDE w:val="0"/>
        <w:autoSpaceDN w:val="0"/>
        <w:adjustRightInd w:val="0"/>
        <w:spacing w:after="0" w:line="240" w:lineRule="exact"/>
        <w:ind w:left="4820"/>
        <w:rPr>
          <w:rFonts w:ascii="Times New Roman" w:eastAsia="Times New Roman" w:hAnsi="Times New Roman" w:cs="Times New Roman"/>
          <w:sz w:val="28"/>
          <w:szCs w:val="28"/>
          <w:lang w:eastAsia="ru-RU"/>
        </w:rPr>
      </w:pPr>
      <w:r w:rsidRPr="0042058C">
        <w:rPr>
          <w:rFonts w:ascii="Times New Roman" w:eastAsia="Times New Roman" w:hAnsi="Times New Roman" w:cs="Times New Roman"/>
          <w:sz w:val="28"/>
          <w:szCs w:val="28"/>
          <w:lang w:eastAsia="ru-RU"/>
        </w:rPr>
        <w:t xml:space="preserve">от </w:t>
      </w:r>
      <w:r w:rsidR="00CD70A7">
        <w:rPr>
          <w:rFonts w:ascii="Times New Roman" w:eastAsia="Times New Roman" w:hAnsi="Times New Roman" w:cs="Times New Roman"/>
          <w:sz w:val="28"/>
          <w:szCs w:val="28"/>
          <w:lang w:eastAsia="ru-RU"/>
        </w:rPr>
        <w:t>15 февраля 2022 г.</w:t>
      </w:r>
      <w:r w:rsidRPr="0042058C">
        <w:rPr>
          <w:rFonts w:ascii="Times New Roman" w:eastAsia="Times New Roman" w:hAnsi="Times New Roman" w:cs="Times New Roman"/>
          <w:sz w:val="28"/>
          <w:szCs w:val="28"/>
          <w:lang w:eastAsia="ru-RU"/>
        </w:rPr>
        <w:t xml:space="preserve">  № </w:t>
      </w:r>
      <w:r w:rsidR="00CD70A7">
        <w:rPr>
          <w:rFonts w:ascii="Times New Roman" w:eastAsia="Times New Roman" w:hAnsi="Times New Roman" w:cs="Times New Roman"/>
          <w:sz w:val="28"/>
          <w:szCs w:val="28"/>
          <w:lang w:eastAsia="ru-RU"/>
        </w:rPr>
        <w:t>9</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D766F3" w:rsidRDefault="00D766F3" w:rsidP="00D766F3">
      <w:pPr>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42058C" w:rsidRPr="00CD70A7" w:rsidRDefault="0042058C" w:rsidP="00CD70A7">
      <w:pPr>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D70A7">
        <w:rPr>
          <w:rFonts w:ascii="Times New Roman" w:eastAsia="Times New Roman" w:hAnsi="Times New Roman" w:cs="Times New Roman"/>
          <w:b/>
          <w:noProof/>
          <w:sz w:val="28"/>
          <w:szCs w:val="28"/>
          <w:lang w:eastAsia="ru-RU"/>
        </w:rPr>
        <w:t>Перечень автомобильных дорог общего пользования местного значения  Труновского муниципального округа</w:t>
      </w:r>
      <w:r w:rsidR="00D766F3" w:rsidRPr="00CD70A7">
        <w:rPr>
          <w:rFonts w:ascii="Times New Roman" w:eastAsia="Times New Roman" w:hAnsi="Times New Roman" w:cs="Times New Roman"/>
          <w:b/>
          <w:noProof/>
          <w:sz w:val="28"/>
          <w:szCs w:val="28"/>
          <w:lang w:eastAsia="ru-RU"/>
        </w:rPr>
        <w:t xml:space="preserve"> Ставропольского края</w:t>
      </w:r>
    </w:p>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60"/>
        <w:gridCol w:w="1961"/>
        <w:gridCol w:w="1521"/>
        <w:gridCol w:w="2316"/>
        <w:gridCol w:w="1010"/>
      </w:tblGrid>
      <w:tr w:rsidR="0042058C" w:rsidRPr="0042058C" w:rsidTr="0042058C">
        <w:tc>
          <w:tcPr>
            <w:tcW w:w="0" w:type="auto"/>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Наименование автодороги</w:t>
            </w:r>
          </w:p>
        </w:tc>
        <w:tc>
          <w:tcPr>
            <w:tcW w:w="0" w:type="auto"/>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Месторасположение автодороги</w:t>
            </w:r>
          </w:p>
        </w:tc>
        <w:tc>
          <w:tcPr>
            <w:tcW w:w="0" w:type="auto"/>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Протяженность, км</w:t>
            </w:r>
          </w:p>
        </w:tc>
        <w:tc>
          <w:tcPr>
            <w:tcW w:w="0" w:type="auto"/>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Идентификационный номер автомобильной дороги. Категория дороги</w:t>
            </w:r>
          </w:p>
        </w:tc>
        <w:tc>
          <w:tcPr>
            <w:tcW w:w="0" w:type="auto"/>
            <w:shd w:val="clear" w:color="auto" w:fill="auto"/>
            <w:vAlign w:val="center"/>
          </w:tcPr>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Площадь</w:t>
            </w:r>
          </w:p>
          <w:p w:rsidR="0042058C" w:rsidRPr="0042058C" w:rsidRDefault="0042058C" w:rsidP="0042058C">
            <w:pPr>
              <w:spacing w:after="0" w:line="240" w:lineRule="auto"/>
              <w:jc w:val="center"/>
              <w:rPr>
                <w:rFonts w:ascii="Times New Roman" w:eastAsia="Times New Roman" w:hAnsi="Times New Roman" w:cs="Times New Roman"/>
                <w:color w:val="000000"/>
                <w:sz w:val="20"/>
                <w:szCs w:val="20"/>
              </w:rPr>
            </w:pPr>
            <w:r w:rsidRPr="0042058C">
              <w:rPr>
                <w:rFonts w:ascii="Times New Roman" w:eastAsia="Times New Roman" w:hAnsi="Times New Roman" w:cs="Times New Roman"/>
                <w:color w:val="000000"/>
                <w:sz w:val="20"/>
                <w:szCs w:val="20"/>
              </w:rPr>
              <w:t>покрытия, м²</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ул.Автомобилистов</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0,385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2310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Вавилова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0,977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5862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Валькова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2,337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14022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Восточная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0,356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2136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ул. Высоцкого </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0,714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4284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Гагарина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1,571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9426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Глинная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0,898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5388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Горная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0,771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4626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Громакова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0,580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07254804-ОП-МП-009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3480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Заводская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4614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Западная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0,445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2670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Зеленая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0,528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3168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Заречная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0,120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720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Индустриальная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1,311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7866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Кавказская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0,573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3438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Калинина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1,386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8316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Кольцевая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0,371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2226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Коммунальная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0,518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3108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ул.Коммунистическая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07254804-ОП-МП-019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4590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ул. Кооперативная </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0,453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2718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Комсомольская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1,450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8700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Комарова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0,635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3810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Красная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2,224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13344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Крестьянская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4,380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26280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Ленина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4,220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25320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Лермонтова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0,900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5400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Лесная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0,284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1704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Ломоносова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0,362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2172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Луговая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0,229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07254804-ОП-МП-029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1374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Матросова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0,534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3204</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Мира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2,200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13200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Московская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4,542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27252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Нагорная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0,757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4542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Невдахина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0,356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2136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Новоселов</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0,830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4900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Октябрьская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2,980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17880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Павлова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1,251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07254804-ОП-МП-037</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7506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Партизанская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3,572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21432</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Первомайская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2,225</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07254804-ОП-МП-039</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13350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Подгорная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2,300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07254804-ОП-МП-040</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13800</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Победы</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0,536</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07254804-ОП-МП-041</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3216</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Пролетарская</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1,768</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07254804-ОП-МП-042</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10608</w:t>
            </w:r>
          </w:p>
        </w:tc>
      </w:tr>
      <w:tr w:rsidR="0042058C" w:rsidRPr="0042058C" w:rsidTr="0042058C">
        <w:tc>
          <w:tcPr>
            <w:tcW w:w="0" w:type="auto"/>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Пушкина</w:t>
            </w:r>
          </w:p>
        </w:tc>
        <w:tc>
          <w:tcPr>
            <w:tcW w:w="0" w:type="auto"/>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0,353</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07254804-ОП-МП-044</w:t>
            </w:r>
          </w:p>
        </w:tc>
        <w:tc>
          <w:tcPr>
            <w:tcW w:w="0" w:type="auto"/>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2118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Репина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2604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16182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Светлая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3696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Северная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6738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Солнечная (от Труновской ТМО до объездной)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Строителей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16080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Ставропольская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9420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Суворова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3678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Советская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6528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Тимирязева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6762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 Толстого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1224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Транспортная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2358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Трунова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3672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Титова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6288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Хоперская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3642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Юбилейная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10146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пр.Дзержинского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1854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пер.Асеева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1344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пер.Атаманский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1986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пер.Больничный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пер.Донской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6714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пер.Дорожный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5610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пер.Дружбы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2544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пер.Королева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918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пер.Казачий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1542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Малоштанова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1686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пер.Мелиораторов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1530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пер.Новый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858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пер.Пионерский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6732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Правоегорлыкский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1686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пер.Песочный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996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пер.Рабочий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5970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пер.Советский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11760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пер.Свободный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9600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пер.Совхозный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2520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пер.Степной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7260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пер.Узкий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8772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пер.Черкаский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1542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пер.Шестакова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2070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пер.Школьный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1,236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7416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пер.Южный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5214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х. Невдахин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2,609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15654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Молодежная, х.Невдахин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3018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bCs/>
                <w:sz w:val="20"/>
                <w:szCs w:val="20"/>
              </w:rPr>
            </w:pPr>
            <w:r w:rsidRPr="0042058C">
              <w:rPr>
                <w:rFonts w:ascii="Times New Roman" w:eastAsia="Calibri" w:hAnsi="Times New Roman" w:cs="Times New Roman"/>
                <w:sz w:val="20"/>
                <w:szCs w:val="20"/>
              </w:rPr>
              <w:t>ул. Ворошилова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Донское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bCs/>
                <w:sz w:val="20"/>
                <w:szCs w:val="20"/>
              </w:rPr>
            </w:pPr>
            <w:r w:rsidRPr="0042058C">
              <w:rPr>
                <w:rFonts w:ascii="Times New Roman" w:eastAsia="Calibri" w:hAnsi="Times New Roman" w:cs="Times New Roman"/>
                <w:bCs/>
                <w:sz w:val="20"/>
                <w:szCs w:val="20"/>
              </w:rPr>
              <w:t>0,340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07254804-ОП-МП-090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2040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Ипатова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072548023 –ОП-МП -001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8106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Степной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Молодёжный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3054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Комсомольская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3-ОП-МП -004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10800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Колхозная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3-ОП-МП -005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2016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М. Горького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3-ОП-МП -006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2088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 Горького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2970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Верхняя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11370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Комарова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11382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8460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Ленина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24336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60 лет Октября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3648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Курганный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3324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Трунова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5172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Калинина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44"/>
                <w:tab w:val="center" w:pos="79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2880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Лермонтова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3642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Промышленная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6696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Шпака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7800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Октябрьская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4710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Парковая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8208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Молодёжная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2976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ул.30 лет Победы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3258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Новая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2778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Спортивный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3816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Почтовый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Артезианская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12600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Северный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2340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Егорлыкский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Ташлянская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2820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Гагарина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4002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Строительная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4980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Партизанская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18456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Пролетарская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20634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Ставропольская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1398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Егорлыкская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9420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Красноармейская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22878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Апанасенко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10482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Московская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6678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Мостовая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4350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Объезд села Безопасного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802 3 –ОП-МП -040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16650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Пионерская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5400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Северная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3600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Рабочая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Южный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4680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Строительный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Гагарина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Пушкина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Фурманова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Мира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Школьный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Лермонтова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10080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Мельничная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Ленина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Пл. Трунова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Пограничный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Партизанская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Зольская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12300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Славный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Учительский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Пл. Свободы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5700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Пролетарская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Флотская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Кооперативная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Колхозная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Пер. Комсомольский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Майская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40 лет Победы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2400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Подъезд к МТФ</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2400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Подъезд к мехтоку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10800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Объездная села Труновское с ориентирами от трассы Донское - Кирова до трассы Труновское - Ключевское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15600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Подъезд к маслозаводу</w:t>
            </w:r>
            <w:r w:rsidR="00364576">
              <w:rPr>
                <w:rFonts w:ascii="Times New Roman" w:eastAsia="Calibri" w:hAnsi="Times New Roman" w:cs="Times New Roman"/>
                <w:sz w:val="20"/>
                <w:szCs w:val="20"/>
              </w:rPr>
              <w:t xml:space="preserve"> от а/д Труновское - поелок им.</w:t>
            </w:r>
            <w:r w:rsidRPr="0042058C">
              <w:rPr>
                <w:rFonts w:ascii="Times New Roman" w:eastAsia="Calibri" w:hAnsi="Times New Roman" w:cs="Times New Roman"/>
                <w:sz w:val="20"/>
                <w:szCs w:val="20"/>
              </w:rPr>
              <w:t>Кирова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Ленина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33348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К мельнице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1902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Лермонтова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Терновская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19980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Кузнечная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с.Труновское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tabs>
                <w:tab w:val="left" w:pos="4662"/>
              </w:tabs>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 816-ОП-МП-018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5988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 дул.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Новая-Кугульта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07-254-810 ОП МП 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 xml:space="preserve">а/ д. ул. Трунова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 Кугульта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07-254-810 ОП МП 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5340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а/д. Переулок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Новая-Кугульта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07-254-810 ОП МП 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666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Комарова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 ОП МП-001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364576" w:rsidP="004205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Объезд с.Подлесного (ул.</w:t>
            </w:r>
            <w:r w:rsidR="0042058C" w:rsidRPr="0042058C">
              <w:rPr>
                <w:rFonts w:ascii="Times New Roman" w:eastAsia="Calibri" w:hAnsi="Times New Roman" w:cs="Times New Roman"/>
                <w:sz w:val="20"/>
                <w:szCs w:val="20"/>
              </w:rPr>
              <w:t>Л</w:t>
            </w:r>
            <w:r>
              <w:rPr>
                <w:rFonts w:ascii="Times New Roman" w:eastAsia="Calibri" w:hAnsi="Times New Roman" w:cs="Times New Roman"/>
                <w:sz w:val="20"/>
                <w:szCs w:val="20"/>
              </w:rPr>
              <w:t>енина, часть ул.</w:t>
            </w:r>
            <w:r w:rsidR="0042058C" w:rsidRPr="0042058C">
              <w:rPr>
                <w:rFonts w:ascii="Times New Roman" w:eastAsia="Calibri" w:hAnsi="Times New Roman" w:cs="Times New Roman"/>
                <w:sz w:val="20"/>
                <w:szCs w:val="20"/>
              </w:rPr>
              <w:t>Заречной)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 ОП МП-002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23400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Гагарина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 ОП МП-003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2136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Южная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p>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Трунова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3168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Молодежная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3240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Ул.Пинчукова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Октябрьская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364576" w:rsidP="004205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Проезд мехток-эл.</w:t>
            </w:r>
            <w:r w:rsidR="0042058C" w:rsidRPr="0042058C">
              <w:rPr>
                <w:rFonts w:ascii="Times New Roman" w:eastAsia="Calibri" w:hAnsi="Times New Roman" w:cs="Times New Roman"/>
                <w:sz w:val="20"/>
                <w:szCs w:val="20"/>
              </w:rPr>
              <w:t>подстанция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8544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07-254-813-ОП МП-010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9090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Пушкина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Земельный участок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3270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Зеленая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Земельный участок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11016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Первомайская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с. 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Земельный участок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2712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Новая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60 лет Октября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3930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Комарова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3288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50 лет Октября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4020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Проезд к школе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2640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Ленина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5220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Кирова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Объездная улица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17760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Садовая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40 лет Победы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1518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Кооперативная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5472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Советская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2178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а/д. возле пекарни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1230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Звездная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2700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Южная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8520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Шоссейная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6420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а/д. Летний Лагерь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3060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Спортивная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2226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Молодежная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1596</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Луговая пос. Нижняя Терновка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1782</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Мира п. Нижняя Терновка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3474</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ул. 50 лет Октября п. Сухой Лог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им.Кирова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07-654-407 ОП МП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1668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Труновское-Ключевское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22,000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132000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Труновское-Новая Кугульта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18,750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112500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Подъезд к селу М. Кугульта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5,200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31200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Подъезд к селу Н.Кугульта а/д «Безопасное-Подлесное»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45438</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Рябухин-Безопасное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66000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364576" w:rsidP="004205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Поселок им.Кирова- пос.</w:t>
            </w:r>
            <w:r w:rsidR="0042058C" w:rsidRPr="0042058C">
              <w:rPr>
                <w:rFonts w:ascii="Times New Roman" w:eastAsia="Calibri" w:hAnsi="Times New Roman" w:cs="Times New Roman"/>
                <w:sz w:val="20"/>
                <w:szCs w:val="20"/>
              </w:rPr>
              <w:t>Сухой Лог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7,600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45600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Пос. им Кирова-Правоегорлыкский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16,000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96000</w:t>
            </w:r>
          </w:p>
        </w:tc>
      </w:tr>
      <w:tr w:rsidR="0042058C" w:rsidRPr="0042058C" w:rsidTr="0042058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rPr>
                <w:rFonts w:ascii="Times New Roman" w:eastAsia="Calibri" w:hAnsi="Times New Roman" w:cs="Times New Roman"/>
                <w:sz w:val="20"/>
                <w:szCs w:val="20"/>
              </w:rPr>
            </w:pPr>
            <w:r w:rsidRPr="0042058C">
              <w:rPr>
                <w:rFonts w:ascii="Times New Roman" w:eastAsia="Calibri" w:hAnsi="Times New Roman" w:cs="Times New Roman"/>
                <w:sz w:val="20"/>
                <w:szCs w:val="20"/>
              </w:rPr>
              <w:t>Труновское-Безопасное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058C" w:rsidRPr="0042058C" w:rsidRDefault="0042058C" w:rsidP="0042058C">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14,347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07254ОПМР-008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2058C" w:rsidRPr="0042058C" w:rsidRDefault="0042058C" w:rsidP="0042058C">
            <w:pPr>
              <w:spacing w:after="0" w:line="240" w:lineRule="auto"/>
              <w:jc w:val="center"/>
              <w:rPr>
                <w:rFonts w:ascii="Times New Roman" w:eastAsia="Calibri" w:hAnsi="Times New Roman" w:cs="Times New Roman"/>
                <w:sz w:val="20"/>
                <w:szCs w:val="20"/>
              </w:rPr>
            </w:pPr>
            <w:r w:rsidRPr="0042058C">
              <w:rPr>
                <w:rFonts w:ascii="Times New Roman" w:eastAsia="Calibri" w:hAnsi="Times New Roman" w:cs="Times New Roman"/>
                <w:sz w:val="20"/>
                <w:szCs w:val="20"/>
              </w:rPr>
              <w:t>86082</w:t>
            </w:r>
          </w:p>
        </w:tc>
      </w:tr>
    </w:tbl>
    <w:p w:rsidR="0042058C" w:rsidRPr="0042058C" w:rsidRDefault="0042058C" w:rsidP="0042058C">
      <w:pPr>
        <w:autoSpaceDE w:val="0"/>
        <w:autoSpaceDN w:val="0"/>
        <w:adjustRightInd w:val="0"/>
        <w:spacing w:after="0"/>
        <w:jc w:val="center"/>
        <w:rPr>
          <w:rFonts w:ascii="Times New Roman" w:eastAsia="Times New Roman" w:hAnsi="Times New Roman" w:cs="Times New Roman"/>
          <w:noProof/>
          <w:sz w:val="28"/>
          <w:szCs w:val="28"/>
          <w:lang w:eastAsia="ru-RU"/>
        </w:rPr>
      </w:pPr>
    </w:p>
    <w:p w:rsidR="0042058C" w:rsidRDefault="0042058C"/>
    <w:sectPr w:rsidR="0042058C" w:rsidSect="00AC7BDA">
      <w:headerReference w:type="default" r:id="rId59"/>
      <w:footerReference w:type="default" r:id="rId60"/>
      <w:headerReference w:type="first" r:id="rId61"/>
      <w:pgSz w:w="11906" w:h="16838" w:code="9"/>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CAD" w:rsidRDefault="00776CAD" w:rsidP="0042058C">
      <w:pPr>
        <w:spacing w:after="0" w:line="240" w:lineRule="auto"/>
      </w:pPr>
      <w:r>
        <w:separator/>
      </w:r>
    </w:p>
  </w:endnote>
  <w:endnote w:type="continuationSeparator" w:id="0">
    <w:p w:rsidR="00776CAD" w:rsidRDefault="00776CAD" w:rsidP="0042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Symap">
    <w:altName w:val="Courier New"/>
    <w:charset w:val="CC"/>
    <w:family w:val="auto"/>
    <w:pitch w:val="variable"/>
    <w:sig w:usb0="00000000"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ymbolMT">
    <w:altName w:val="Cambria"/>
    <w:panose1 w:val="00000000000000000000"/>
    <w:charset w:val="00"/>
    <w:family w:val="roman"/>
    <w:notTrueType/>
    <w:pitch w:val="default"/>
  </w:font>
  <w:font w:name="NTTimes/Cyrillic">
    <w:altName w:val="Times New Roman"/>
    <w:panose1 w:val="00000000000000000000"/>
    <w:charset w:val="00"/>
    <w:family w:val="roman"/>
    <w:notTrueType/>
    <w:pitch w:val="default"/>
    <w:sig w:usb0="0064FA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CAD" w:rsidRDefault="00776CAD" w:rsidP="00265B74">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CAD" w:rsidRDefault="00776CAD" w:rsidP="0042058C">
      <w:pPr>
        <w:spacing w:after="0" w:line="240" w:lineRule="auto"/>
      </w:pPr>
      <w:r>
        <w:separator/>
      </w:r>
    </w:p>
  </w:footnote>
  <w:footnote w:type="continuationSeparator" w:id="0">
    <w:p w:rsidR="00776CAD" w:rsidRDefault="00776CAD" w:rsidP="0042058C">
      <w:pPr>
        <w:spacing w:after="0" w:line="240" w:lineRule="auto"/>
      </w:pPr>
      <w:r>
        <w:continuationSeparator/>
      </w:r>
    </w:p>
  </w:footnote>
  <w:footnote w:id="1">
    <w:p w:rsidR="00776CAD" w:rsidRDefault="00776CAD" w:rsidP="005063A1">
      <w:pPr>
        <w:pStyle w:val="aff4"/>
      </w:pPr>
      <w:r>
        <w:rPr>
          <w:rStyle w:val="aff7"/>
        </w:rPr>
        <w:footnoteRef/>
      </w:r>
      <w:r>
        <w:t xml:space="preserve"> </w:t>
      </w:r>
      <w:r w:rsidRPr="00A3365C">
        <w:t xml:space="preserve">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A3365C">
        <w:rPr>
          <w:bCs/>
        </w:rPr>
        <w:t>(СТ СЭВ 4472-84) Земли. Термины и определения).</w:t>
      </w:r>
    </w:p>
  </w:footnote>
  <w:footnote w:id="2">
    <w:p w:rsidR="00776CAD" w:rsidRPr="009A6C79" w:rsidRDefault="00776CAD" w:rsidP="0042058C">
      <w:pPr>
        <w:pStyle w:val="aff4"/>
        <w:rPr>
          <w:rFonts w:ascii="Arial" w:hAnsi="Arial" w:cs="Arial"/>
        </w:rPr>
      </w:pPr>
      <w:r w:rsidRPr="009A6C79">
        <w:rPr>
          <w:rStyle w:val="aff7"/>
          <w:rFonts w:ascii="Arial" w:hAnsi="Arial" w:cs="Arial"/>
        </w:rPr>
        <w:footnoteRef/>
      </w:r>
      <w:r>
        <w:rPr>
          <w:rFonts w:ascii="Arial" w:hAnsi="Arial" w:cs="Arial"/>
        </w:rPr>
        <w:t xml:space="preserve"> </w:t>
      </w:r>
      <w:r w:rsidRPr="008C2ECD">
        <w:t>Задачи проекта генерального плана Труновского муниципального округа сформулированы с учетом Технического задания на выполнение научно-исследовательской работы и с соблюдением требований ГрК РФ</w:t>
      </w:r>
    </w:p>
  </w:footnote>
  <w:footnote w:id="3">
    <w:p w:rsidR="00776CAD" w:rsidRPr="007C5E25" w:rsidRDefault="00776CAD" w:rsidP="0042058C">
      <w:pPr>
        <w:pStyle w:val="aff4"/>
      </w:pPr>
      <w:r>
        <w:rPr>
          <w:rStyle w:val="aff7"/>
        </w:rPr>
        <w:footnoteRef/>
      </w:r>
      <w:r>
        <w:t xml:space="preserve"> </w:t>
      </w:r>
      <w:r w:rsidRPr="007C5E25">
        <w:t>Часть 5.2 статьи 9, пункт 1, части 7, статьи 23 Градостроительного кодекса Российской Федерации</w:t>
      </w:r>
    </w:p>
  </w:footnote>
  <w:footnote w:id="4">
    <w:p w:rsidR="00776CAD" w:rsidRPr="007C5E25" w:rsidRDefault="00776CAD" w:rsidP="0042058C">
      <w:pPr>
        <w:pStyle w:val="aff4"/>
        <w:rPr>
          <w:rFonts w:eastAsia="Calibri"/>
        </w:rPr>
      </w:pPr>
      <w:r w:rsidRPr="007C5E25">
        <w:rPr>
          <w:rStyle w:val="aff7"/>
        </w:rPr>
        <w:footnoteRef/>
      </w:r>
      <w:r w:rsidRPr="007C5E25">
        <w:t xml:space="preserve"> </w:t>
      </w:r>
      <w:r w:rsidRPr="007C5E25">
        <w:rPr>
          <w:rFonts w:eastAsia="Calibri"/>
        </w:rPr>
        <w:t xml:space="preserve">Утверждены постановлением Администрации Труновского муниципального округа Ставропольского края от 29.09.2021 № 882-п </w:t>
      </w:r>
    </w:p>
    <w:p w:rsidR="00776CAD" w:rsidRDefault="00776CAD" w:rsidP="0042058C">
      <w:pPr>
        <w:pStyle w:val="aff4"/>
      </w:pPr>
    </w:p>
  </w:footnote>
  <w:footnote w:id="5">
    <w:p w:rsidR="00776CAD" w:rsidRDefault="00776CAD" w:rsidP="0042058C">
      <w:pPr>
        <w:pStyle w:val="aff4"/>
      </w:pPr>
      <w:r>
        <w:rPr>
          <w:rStyle w:val="aff7"/>
        </w:rPr>
        <w:footnoteRef/>
      </w:r>
      <w:r>
        <w:t xml:space="preserve"> </w:t>
      </w:r>
      <w:r w:rsidRPr="007C5E25">
        <w:t>Закон Ставропольского края от 31.01.2020 г. № 14-кз «О преобразовании муниципальных образований, входящих в состав Труновского муниципального района Ставропольского края, и об организации местного самоуправления на территории Труновского района Ставропольского края»</w:t>
      </w:r>
    </w:p>
  </w:footnote>
  <w:footnote w:id="6">
    <w:p w:rsidR="00776CAD" w:rsidRPr="009D6A07" w:rsidRDefault="00776CAD" w:rsidP="0042058C">
      <w:pPr>
        <w:pStyle w:val="aff4"/>
        <w:rPr>
          <w:rFonts w:cs="Times New Roman"/>
        </w:rPr>
      </w:pPr>
      <w:r>
        <w:rPr>
          <w:rStyle w:val="aff7"/>
        </w:rPr>
        <w:footnoteRef/>
      </w:r>
      <w:r>
        <w:t xml:space="preserve"> </w:t>
      </w:r>
      <w:r w:rsidRPr="009D6A07">
        <w:rPr>
          <w:rFonts w:cs="Times New Roman"/>
        </w:rPr>
        <w:t>Научно-исследовательская работа: «Внесение изменений в схему территориального планирования Ставропольского края». Том 2. Материалы по обоснованию. Книга 1. Концепция пространственного (градостроительного) планирования Ставропольского края. Концепция Ставропольской агломерации. Концепция агломерации КМВ. – Ставрополь, 2017. – С. 119-121</w:t>
      </w:r>
    </w:p>
  </w:footnote>
  <w:footnote w:id="7">
    <w:p w:rsidR="00776CAD" w:rsidRDefault="00776CAD" w:rsidP="0042058C">
      <w:pPr>
        <w:pStyle w:val="aff4"/>
      </w:pPr>
      <w:r>
        <w:rPr>
          <w:rStyle w:val="aff7"/>
        </w:rPr>
        <w:footnoteRef/>
      </w:r>
      <w:r>
        <w:t xml:space="preserve"> </w:t>
      </w:r>
      <w:r w:rsidRPr="00624BAF">
        <w:t>Научно-исследовательская работа: «Внесение изменений в схему территориального планирования Ставропольского края». Том 2. Материалы по обоснованию. Книга 1. Концепция пространственного (градостроительного) планирования Ставропольского края. Концепция Ставропольской агломерации. Концепция агломерации КМВ. – Ставрополь, 2017. – С. 278.</w:t>
      </w:r>
    </w:p>
  </w:footnote>
  <w:footnote w:id="8">
    <w:p w:rsidR="00776CAD" w:rsidRDefault="00776CAD" w:rsidP="0042058C">
      <w:pPr>
        <w:pStyle w:val="aff4"/>
      </w:pPr>
      <w:r>
        <w:rPr>
          <w:rStyle w:val="aff7"/>
        </w:rPr>
        <w:footnoteRef/>
      </w:r>
      <w:r>
        <w:t xml:space="preserve"> </w:t>
      </w:r>
      <w:r w:rsidRPr="00624BAF">
        <w:t>Научно-исследовательская работа: «Внесение изменений в схему территориального планирования Ставропольского края». Том 2. Материалы по обоснованию. Книга 1. Концепция пространственного (градостроительного) планирования Ставропольского края. Концепция Ставропольской агломерации. Концепция агломерации КМВ. Приложение 8. – Ставрополь, 2017. – С. 354-355.</w:t>
      </w:r>
    </w:p>
  </w:footnote>
  <w:footnote w:id="9">
    <w:p w:rsidR="00776CAD" w:rsidRDefault="00776CAD" w:rsidP="0042058C">
      <w:pPr>
        <w:pStyle w:val="aff4"/>
      </w:pPr>
      <w:r>
        <w:rPr>
          <w:rStyle w:val="aff7"/>
        </w:rPr>
        <w:footnoteRef/>
      </w:r>
      <w:r>
        <w:t xml:space="preserve"> </w:t>
      </w:r>
      <w:r w:rsidRPr="00036863">
        <w:t>Атлас состояния минерально-сырьевой базы Ставропольского края. – Ставрополь, 2008. – 123 с.</w:t>
      </w:r>
    </w:p>
  </w:footnote>
  <w:footnote w:id="10">
    <w:p w:rsidR="00776CAD" w:rsidRDefault="00776CAD" w:rsidP="0042058C">
      <w:pPr>
        <w:pStyle w:val="aff4"/>
      </w:pPr>
      <w:r>
        <w:rPr>
          <w:rStyle w:val="aff7"/>
        </w:rPr>
        <w:footnoteRef/>
      </w:r>
      <w:r>
        <w:t xml:space="preserve"> </w:t>
      </w:r>
      <w:r w:rsidRPr="00036863">
        <w:t>Клюшин П. В. Антропогенная деградация территории Ставропольского края / П. В. Клюшин, А.Н. Марьин // Юг России: экология, развитие. – 2011. – № 3. – С. 104.</w:t>
      </w:r>
    </w:p>
  </w:footnote>
  <w:footnote w:id="11">
    <w:p w:rsidR="00776CAD" w:rsidRPr="009D6A07" w:rsidRDefault="00776CAD" w:rsidP="0042058C">
      <w:pPr>
        <w:pStyle w:val="aff4"/>
        <w:rPr>
          <w:rFonts w:eastAsia="Calibri" w:cs="Times New Roman"/>
        </w:rPr>
      </w:pPr>
      <w:r>
        <w:rPr>
          <w:rStyle w:val="aff7"/>
        </w:rPr>
        <w:footnoteRef/>
      </w:r>
      <w:r>
        <w:t xml:space="preserve"> </w:t>
      </w:r>
      <w:r w:rsidRPr="009D6A07">
        <w:rPr>
          <w:rFonts w:eastAsia="Calibri" w:cs="Times New Roman"/>
        </w:rPr>
        <w:t>Активность оползневых зон Ставропольской возвышенности / Разумов В.В., Висхаджиева К.С., Разумова Н.В., Скрипчинский А.В. – 2020.</w:t>
      </w:r>
    </w:p>
    <w:p w:rsidR="00776CAD" w:rsidRDefault="00776CAD" w:rsidP="0042058C">
      <w:pPr>
        <w:pStyle w:val="aff4"/>
      </w:pPr>
    </w:p>
  </w:footnote>
  <w:footnote w:id="12">
    <w:p w:rsidR="00776CAD" w:rsidRDefault="00776CAD" w:rsidP="0042058C">
      <w:pPr>
        <w:pStyle w:val="aff4"/>
      </w:pPr>
      <w:r>
        <w:rPr>
          <w:rStyle w:val="aff7"/>
        </w:rPr>
        <w:footnoteRef/>
      </w:r>
      <w:r>
        <w:t xml:space="preserve"> </w:t>
      </w:r>
      <w:r w:rsidRPr="008544E4">
        <w:t>Климат Труновского муниципального округа. Данные с сайта meteoblue.com</w:t>
      </w:r>
    </w:p>
  </w:footnote>
  <w:footnote w:id="13">
    <w:p w:rsidR="00776CAD" w:rsidRDefault="00776CAD" w:rsidP="0042058C">
      <w:pPr>
        <w:pStyle w:val="aff4"/>
      </w:pPr>
      <w:r>
        <w:rPr>
          <w:rStyle w:val="aff7"/>
        </w:rPr>
        <w:footnoteRef/>
      </w:r>
      <w:r>
        <w:t xml:space="preserve"> </w:t>
      </w:r>
      <w:r w:rsidRPr="006D0568">
        <w:t>Климат Труновского муниципального округа – https://www.meteoblue.com/ru/</w:t>
      </w:r>
    </w:p>
  </w:footnote>
  <w:footnote w:id="14">
    <w:p w:rsidR="00776CAD" w:rsidRDefault="00776CAD" w:rsidP="0042058C">
      <w:pPr>
        <w:pStyle w:val="aff4"/>
      </w:pPr>
      <w:r>
        <w:rPr>
          <w:rStyle w:val="aff7"/>
        </w:rPr>
        <w:footnoteRef/>
      </w:r>
      <w:r>
        <w:t xml:space="preserve"> </w:t>
      </w:r>
      <w:r w:rsidRPr="00A54E89">
        <w:t>Почвенно-географическое районирование СССР, – М.: Изд-во Акад. наук СССР, 1962 – 422 с.</w:t>
      </w:r>
    </w:p>
  </w:footnote>
  <w:footnote w:id="15">
    <w:p w:rsidR="00776CAD" w:rsidRDefault="00776CAD" w:rsidP="0042058C">
      <w:pPr>
        <w:pStyle w:val="aff4"/>
      </w:pPr>
      <w:r>
        <w:rPr>
          <w:rStyle w:val="aff7"/>
        </w:rPr>
        <w:footnoteRef/>
      </w:r>
      <w:r>
        <w:t xml:space="preserve"> </w:t>
      </w:r>
      <w:r w:rsidRPr="00F06C78">
        <w:t>Атлас земель Ставропольского края. – М.: Изд-во ООО «ДИ ЭМ БИ», 2000. – 114 с.</w:t>
      </w:r>
    </w:p>
  </w:footnote>
  <w:footnote w:id="16">
    <w:p w:rsidR="00776CAD" w:rsidRDefault="00776CAD" w:rsidP="0042058C">
      <w:pPr>
        <w:pStyle w:val="aff4"/>
      </w:pPr>
      <w:r>
        <w:rPr>
          <w:rStyle w:val="aff7"/>
        </w:rPr>
        <w:footnoteRef/>
      </w:r>
      <w:r>
        <w:t xml:space="preserve"> </w:t>
      </w:r>
      <w:r w:rsidRPr="00F06C78">
        <w:t>Атлас состояний минерально-сырьевой базы Ставропольского края. – Ставрополь: ООО «ГеоВодИнформ», 2008.</w:t>
      </w:r>
    </w:p>
  </w:footnote>
  <w:footnote w:id="17">
    <w:p w:rsidR="00776CAD" w:rsidRDefault="00776CAD" w:rsidP="0042058C">
      <w:pPr>
        <w:pStyle w:val="aff4"/>
      </w:pPr>
      <w:r>
        <w:rPr>
          <w:rStyle w:val="aff7"/>
        </w:rPr>
        <w:footnoteRef/>
      </w:r>
      <w:r>
        <w:t xml:space="preserve"> </w:t>
      </w:r>
      <w:r w:rsidRPr="00DC3E1E">
        <w:t>Положение о создании охранных зон стационарных пунктов наблюдений за состоянием окружающей природной среды, ее загрязнением (с 1 января 2022 г – в соответствии с: Постановлением Правительства Российской Федерации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p>
  </w:footnote>
  <w:footnote w:id="18">
    <w:p w:rsidR="00776CAD" w:rsidRDefault="00776CAD" w:rsidP="0042058C">
      <w:pPr>
        <w:pStyle w:val="aff4"/>
      </w:pPr>
      <w:r>
        <w:rPr>
          <w:rStyle w:val="aff7"/>
        </w:rPr>
        <w:footnoteRef/>
      </w:r>
      <w:r>
        <w:t xml:space="preserve"> </w:t>
      </w:r>
      <w:r w:rsidRPr="003E39CE">
        <w:t>Управление Федеральной службы государственной статистики по Северо-Кавказскому федеральному округу stavstat.gks.ru</w:t>
      </w:r>
    </w:p>
  </w:footnote>
  <w:footnote w:id="19">
    <w:p w:rsidR="00776CAD" w:rsidRDefault="00776CAD" w:rsidP="0042058C">
      <w:pPr>
        <w:pStyle w:val="aff4"/>
      </w:pPr>
      <w:r>
        <w:rPr>
          <w:rStyle w:val="aff7"/>
        </w:rPr>
        <w:footnoteRef/>
      </w:r>
      <w:r>
        <w:t xml:space="preserve"> </w:t>
      </w:r>
      <w:r w:rsidRPr="003E39CE">
        <w:t>Данные администрации Труновского муниципального округа</w:t>
      </w:r>
    </w:p>
  </w:footnote>
  <w:footnote w:id="20">
    <w:p w:rsidR="00776CAD" w:rsidRDefault="00776CAD" w:rsidP="0042058C">
      <w:pPr>
        <w:pStyle w:val="aff4"/>
      </w:pPr>
      <w:r>
        <w:rPr>
          <w:rStyle w:val="aff7"/>
        </w:rPr>
        <w:footnoteRef/>
      </w:r>
      <w:r>
        <w:t xml:space="preserve"> </w:t>
      </w:r>
      <w:r w:rsidRPr="003E39CE">
        <w:t>Итоги Всероссийской переписи населения 2002 года</w:t>
      </w:r>
    </w:p>
  </w:footnote>
  <w:footnote w:id="21">
    <w:p w:rsidR="00776CAD" w:rsidRDefault="00776CAD" w:rsidP="0042058C">
      <w:pPr>
        <w:pStyle w:val="aff4"/>
      </w:pPr>
      <w:r>
        <w:rPr>
          <w:rStyle w:val="aff7"/>
        </w:rPr>
        <w:footnoteRef/>
      </w:r>
      <w:r>
        <w:t xml:space="preserve"> </w:t>
      </w:r>
      <w:r w:rsidRPr="003E39CE">
        <w:t>Итоги Всероссийской переписи населения 2010 года</w:t>
      </w:r>
    </w:p>
  </w:footnote>
  <w:footnote w:id="22">
    <w:p w:rsidR="00776CAD" w:rsidRDefault="00776CAD" w:rsidP="0042058C">
      <w:pPr>
        <w:pStyle w:val="aff4"/>
      </w:pPr>
      <w:r>
        <w:rPr>
          <w:rStyle w:val="aff7"/>
        </w:rPr>
        <w:footnoteRef/>
      </w:r>
      <w:r>
        <w:t xml:space="preserve"> </w:t>
      </w:r>
      <w:r w:rsidRPr="00A0663F">
        <w:t>Итоги Всероссийской переписи населения 2002 года</w:t>
      </w:r>
    </w:p>
  </w:footnote>
  <w:footnote w:id="23">
    <w:p w:rsidR="00776CAD" w:rsidRDefault="00776CAD" w:rsidP="0042058C">
      <w:pPr>
        <w:pStyle w:val="aff4"/>
      </w:pPr>
      <w:r>
        <w:rPr>
          <w:rStyle w:val="aff7"/>
        </w:rPr>
        <w:footnoteRef/>
      </w:r>
      <w:r>
        <w:t xml:space="preserve"> </w:t>
      </w:r>
      <w:r w:rsidRPr="00A0663F">
        <w:t>Итоги Всероссийской переписи населения 2010 года</w:t>
      </w:r>
    </w:p>
  </w:footnote>
  <w:footnote w:id="24">
    <w:p w:rsidR="00776CAD" w:rsidRDefault="00776CAD" w:rsidP="0042058C">
      <w:pPr>
        <w:pStyle w:val="aff4"/>
      </w:pPr>
      <w:r>
        <w:rPr>
          <w:rStyle w:val="aff7"/>
        </w:rPr>
        <w:footnoteRef/>
      </w:r>
      <w:r>
        <w:t xml:space="preserve"> </w:t>
      </w:r>
      <w:r w:rsidRPr="00A0663F">
        <w:t>Данные администрации Труновского муниципального округа</w:t>
      </w:r>
    </w:p>
  </w:footnote>
  <w:footnote w:id="25">
    <w:p w:rsidR="00776CAD" w:rsidRDefault="00776CAD" w:rsidP="0042058C">
      <w:pPr>
        <w:pStyle w:val="aff4"/>
      </w:pPr>
      <w:r>
        <w:rPr>
          <w:rStyle w:val="aff7"/>
        </w:rPr>
        <w:footnoteRef/>
      </w:r>
      <w:r>
        <w:t xml:space="preserve"> </w:t>
      </w:r>
      <w:r w:rsidRPr="00CF0A12">
        <w:t>Итоги Всероссийской переписи населения 2010 года</w:t>
      </w:r>
    </w:p>
  </w:footnote>
  <w:footnote w:id="26">
    <w:p w:rsidR="00776CAD" w:rsidRDefault="00776CAD" w:rsidP="0042058C">
      <w:pPr>
        <w:pStyle w:val="aff4"/>
      </w:pPr>
      <w:r>
        <w:rPr>
          <w:rStyle w:val="aff7"/>
        </w:rPr>
        <w:footnoteRef/>
      </w:r>
      <w:r>
        <w:t xml:space="preserve"> </w:t>
      </w:r>
      <w:r w:rsidRPr="00CF0A12">
        <w:t>Итоги Всероссийской переписи населения 2010 года</w:t>
      </w:r>
    </w:p>
  </w:footnote>
  <w:footnote w:id="27">
    <w:p w:rsidR="00776CAD" w:rsidRDefault="00776CAD" w:rsidP="0042058C">
      <w:pPr>
        <w:pStyle w:val="aff4"/>
      </w:pPr>
      <w:r>
        <w:rPr>
          <w:rStyle w:val="aff7"/>
        </w:rPr>
        <w:footnoteRef/>
      </w:r>
      <w:r>
        <w:t xml:space="preserve"> </w:t>
      </w:r>
      <w:r w:rsidRPr="00762912">
        <w:t>Итоги Всероссийской переписи населения 2010 года</w:t>
      </w:r>
    </w:p>
  </w:footnote>
  <w:footnote w:id="28">
    <w:p w:rsidR="00776CAD" w:rsidRDefault="00776CAD" w:rsidP="0042058C">
      <w:pPr>
        <w:pStyle w:val="aff4"/>
      </w:pPr>
      <w:r>
        <w:rPr>
          <w:rStyle w:val="aff7"/>
        </w:rPr>
        <w:footnoteRef/>
      </w:r>
      <w:r>
        <w:t xml:space="preserve"> </w:t>
      </w:r>
      <w:r w:rsidRPr="000A0ACD">
        <w:t>Рассчитано по: Рождаемость, смертность и естественный прирост населения, www: docviewer.yandex.ru; Коэффициенты по родившимся и умершим в Cтавропольском крае за 2015-2020 годы, www.stavstat.gks.ru</w:t>
      </w:r>
    </w:p>
  </w:footnote>
  <w:footnote w:id="29">
    <w:p w:rsidR="00776CAD" w:rsidRDefault="00776CAD" w:rsidP="0042058C">
      <w:pPr>
        <w:pStyle w:val="aff4"/>
      </w:pPr>
      <w:r>
        <w:rPr>
          <w:rStyle w:val="aff7"/>
        </w:rPr>
        <w:footnoteRef/>
      </w:r>
      <w:r>
        <w:t xml:space="preserve"> </w:t>
      </w:r>
      <w:r w:rsidRPr="008A26E5">
        <w:t>Рассчитано по данным Администрации Труновского муниципального округа</w:t>
      </w:r>
    </w:p>
  </w:footnote>
  <w:footnote w:id="30">
    <w:p w:rsidR="00776CAD" w:rsidRDefault="00776CAD" w:rsidP="0042058C">
      <w:pPr>
        <w:pStyle w:val="aff4"/>
      </w:pPr>
      <w:r>
        <w:rPr>
          <w:rStyle w:val="aff7"/>
        </w:rPr>
        <w:footnoteRef/>
      </w:r>
      <w:r>
        <w:t xml:space="preserve"> Рассчитано по: Родившиеся живыми по очерёдности рождения по городским и муниципальным </w:t>
      </w:r>
    </w:p>
    <w:p w:rsidR="00776CAD" w:rsidRDefault="00776CAD" w:rsidP="0042058C">
      <w:pPr>
        <w:pStyle w:val="aff4"/>
      </w:pPr>
      <w:r>
        <w:t>округам Ставропольского края за 2020 год; stavstat.gks.ru</w:t>
      </w:r>
    </w:p>
  </w:footnote>
  <w:footnote w:id="31">
    <w:p w:rsidR="00776CAD" w:rsidRDefault="00776CAD" w:rsidP="0042058C">
      <w:pPr>
        <w:pStyle w:val="aff4"/>
      </w:pPr>
      <w:r>
        <w:rPr>
          <w:rStyle w:val="aff7"/>
        </w:rPr>
        <w:footnoteRef/>
      </w:r>
      <w:r>
        <w:t xml:space="preserve"> </w:t>
      </w:r>
      <w:r w:rsidRPr="00FD2417">
        <w:t>Браки и разводы в Российской Федерации www: docviewer.yandex.ru; Коэффициенты браков и разводов по Ставропольскому краю за 2015-2020 годы, на 1000 человек населения stavstat.gks.ru</w:t>
      </w:r>
    </w:p>
  </w:footnote>
  <w:footnote w:id="32">
    <w:p w:rsidR="00776CAD" w:rsidRDefault="00776CAD" w:rsidP="0042058C">
      <w:pPr>
        <w:pStyle w:val="aff4"/>
      </w:pPr>
      <w:r>
        <w:rPr>
          <w:rStyle w:val="aff7"/>
        </w:rPr>
        <w:footnoteRef/>
      </w:r>
      <w:r>
        <w:t xml:space="preserve"> </w:t>
      </w:r>
      <w:r w:rsidRPr="00FD2417">
        <w:t>Рассчитано по: Общие итоги миграции населения Российской Федерации; docviewer.yandex.ru; Основные потоки миграции населения территорий края за 2020 год; stavstat.gks.ru; Данные Администрации Труновского муниципального округа</w:t>
      </w:r>
    </w:p>
  </w:footnote>
  <w:footnote w:id="33">
    <w:p w:rsidR="00776CAD" w:rsidRDefault="00776CAD" w:rsidP="0042058C">
      <w:pPr>
        <w:pStyle w:val="aff4"/>
      </w:pPr>
      <w:r>
        <w:rPr>
          <w:rStyle w:val="aff7"/>
        </w:rPr>
        <w:footnoteRef/>
      </w:r>
      <w:r>
        <w:t xml:space="preserve"> </w:t>
      </w:r>
      <w:r w:rsidRPr="005140E6">
        <w:t>Рассчитано по данным Администрации Труновского муниципального округа</w:t>
      </w:r>
    </w:p>
  </w:footnote>
  <w:footnote w:id="34">
    <w:p w:rsidR="00776CAD" w:rsidRDefault="00776CAD" w:rsidP="0042058C">
      <w:pPr>
        <w:pStyle w:val="aff4"/>
      </w:pPr>
      <w:r>
        <w:rPr>
          <w:rStyle w:val="aff7"/>
        </w:rPr>
        <w:footnoteRef/>
      </w:r>
      <w:r>
        <w:t xml:space="preserve"> </w:t>
      </w:r>
      <w:r w:rsidRPr="004C6A23">
        <w:t>Рассчитано по: Основные потоки миграции населения территорий края за 2020 год; stavstat.gks.ru</w:t>
      </w:r>
    </w:p>
  </w:footnote>
  <w:footnote w:id="35">
    <w:p w:rsidR="00776CAD" w:rsidRDefault="00776CAD" w:rsidP="0042058C">
      <w:pPr>
        <w:pStyle w:val="aff4"/>
      </w:pPr>
      <w:r>
        <w:rPr>
          <w:rStyle w:val="aff7"/>
        </w:rPr>
        <w:footnoteRef/>
      </w:r>
      <w:r>
        <w:t xml:space="preserve"> </w:t>
      </w:r>
      <w:r w:rsidRPr="00EF5E1E">
        <w:t>Рассчитано по: Распределение населения РФ по возрастным группам; docviewer.yandex.ru; Численность населения по полу и возрасту на начало 2020 года. Ставропольский край; stavstat.gks.ru; Данные Администрации Труновского муниципального округа</w:t>
      </w:r>
    </w:p>
  </w:footnote>
  <w:footnote w:id="36">
    <w:p w:rsidR="00776CAD" w:rsidRDefault="00776CAD" w:rsidP="0042058C">
      <w:pPr>
        <w:pStyle w:val="aff4"/>
      </w:pPr>
      <w:r>
        <w:rPr>
          <w:rStyle w:val="aff7"/>
        </w:rPr>
        <w:footnoteRef/>
      </w:r>
      <w:r>
        <w:t xml:space="preserve"> </w:t>
      </w:r>
      <w:r w:rsidRPr="00E73EC9">
        <w:t>Итоги Всероссийской переписи населения 2010 года</w:t>
      </w:r>
    </w:p>
  </w:footnote>
  <w:footnote w:id="37">
    <w:p w:rsidR="00776CAD" w:rsidRDefault="00776CAD" w:rsidP="0042058C">
      <w:pPr>
        <w:pStyle w:val="aff4"/>
      </w:pPr>
      <w:r>
        <w:rPr>
          <w:rStyle w:val="aff7"/>
        </w:rPr>
        <w:footnoteRef/>
      </w:r>
      <w:r>
        <w:t xml:space="preserve"> </w:t>
      </w:r>
      <w:r w:rsidRPr="007C4507">
        <w:t>Составлено на основе: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38">
    <w:p w:rsidR="00776CAD" w:rsidRPr="00DA4D48" w:rsidRDefault="00776CAD" w:rsidP="0042058C">
      <w:pPr>
        <w:jc w:val="both"/>
        <w:rPr>
          <w:rFonts w:ascii="Times New Roman" w:eastAsia="Calibri" w:hAnsi="Times New Roman" w:cs="Times New Roman"/>
          <w:color w:val="000000"/>
          <w:shd w:val="clear" w:color="auto" w:fill="FFFFFF"/>
        </w:rPr>
      </w:pPr>
      <w:r>
        <w:rPr>
          <w:rStyle w:val="aff7"/>
        </w:rPr>
        <w:footnoteRef/>
      </w:r>
      <w:r>
        <w:t xml:space="preserve"> </w:t>
      </w:r>
      <w:r w:rsidRPr="00DA4D48">
        <w:rPr>
          <w:rFonts w:ascii="Times New Roman" w:eastAsia="Calibri" w:hAnsi="Times New Roman" w:cs="Times New Roman"/>
        </w:rPr>
        <w:t xml:space="preserve">Составлено на основе: </w:t>
      </w:r>
      <w:r w:rsidRPr="00DA4D48">
        <w:rPr>
          <w:rFonts w:ascii="Times New Roman" w:hAnsi="Times New Roman" w:cs="Times New Roman"/>
          <w:bCs/>
          <w:color w:val="000000"/>
          <w:kern w:val="36"/>
        </w:rPr>
        <w:t xml:space="preserve">Статистическая информация о социально-экономическом положении городских округов и муниципальных районов Ставропольского края – </w:t>
      </w:r>
      <w:r w:rsidRPr="00DA4D48">
        <w:rPr>
          <w:rFonts w:ascii="Times New Roman" w:eastAsia="Calibri" w:hAnsi="Times New Roman" w:cs="Times New Roman"/>
          <w:color w:val="000000"/>
          <w:shd w:val="clear" w:color="auto" w:fill="FFFFFF"/>
        </w:rPr>
        <w:t xml:space="preserve">режим доступа: </w:t>
      </w:r>
      <w:r w:rsidRPr="00DA4D48">
        <w:rPr>
          <w:rFonts w:ascii="Times New Roman" w:hAnsi="Times New Roman" w:cs="Times New Roman"/>
          <w:bCs/>
          <w:color w:val="000000"/>
          <w:kern w:val="36"/>
        </w:rPr>
        <w:t xml:space="preserve">https://stavstat.gks.ru/folder/34671 </w:t>
      </w:r>
      <w:r w:rsidRPr="00DA4D48">
        <w:rPr>
          <w:rFonts w:ascii="Times New Roman" w:eastAsia="Calibri" w:hAnsi="Times New Roman" w:cs="Times New Roman"/>
          <w:color w:val="000000"/>
          <w:shd w:val="clear" w:color="auto" w:fill="FFFFFF"/>
        </w:rPr>
        <w:t>(дата обращения 26.09.21).</w:t>
      </w:r>
    </w:p>
    <w:p w:rsidR="00776CAD" w:rsidRDefault="00776CAD" w:rsidP="0042058C">
      <w:pPr>
        <w:pStyle w:val="aff4"/>
      </w:pPr>
    </w:p>
  </w:footnote>
  <w:footnote w:id="39">
    <w:p w:rsidR="00776CAD" w:rsidRPr="00DA4D48" w:rsidRDefault="00776CAD" w:rsidP="0042058C">
      <w:pPr>
        <w:pStyle w:val="aff4"/>
        <w:rPr>
          <w:rFonts w:cs="Times New Roman"/>
        </w:rPr>
      </w:pPr>
      <w:r w:rsidRPr="009A6C79">
        <w:rPr>
          <w:rStyle w:val="aff7"/>
          <w:rFonts w:ascii="Arial" w:hAnsi="Arial" w:cs="Arial"/>
        </w:rPr>
        <w:footnoteRef/>
      </w:r>
      <w:r w:rsidRPr="009A6C79">
        <w:rPr>
          <w:rFonts w:ascii="Arial" w:hAnsi="Arial" w:cs="Arial"/>
        </w:rPr>
        <w:t xml:space="preserve"> </w:t>
      </w:r>
      <w:r w:rsidRPr="00DA4D48">
        <w:rPr>
          <w:rFonts w:cs="Times New Roman"/>
          <w:bCs/>
          <w:color w:val="000000"/>
          <w:shd w:val="clear" w:color="auto" w:fill="FFFFFF"/>
        </w:rPr>
        <w:t>Составлено по: Единая</w:t>
      </w:r>
      <w:r w:rsidRPr="00DA4D48">
        <w:rPr>
          <w:rFonts w:cs="Times New Roman"/>
          <w:color w:val="000000"/>
          <w:shd w:val="clear" w:color="auto" w:fill="FFFFFF"/>
        </w:rPr>
        <w:t> </w:t>
      </w:r>
      <w:r w:rsidRPr="00DA4D48">
        <w:rPr>
          <w:rFonts w:cs="Times New Roman"/>
          <w:bCs/>
          <w:color w:val="000000"/>
          <w:shd w:val="clear" w:color="auto" w:fill="FFFFFF"/>
        </w:rPr>
        <w:t>межведомственная</w:t>
      </w:r>
      <w:r w:rsidRPr="00DA4D48">
        <w:rPr>
          <w:rFonts w:cs="Times New Roman"/>
          <w:color w:val="000000"/>
          <w:shd w:val="clear" w:color="auto" w:fill="FFFFFF"/>
        </w:rPr>
        <w:t> </w:t>
      </w:r>
      <w:r w:rsidRPr="00DA4D48">
        <w:rPr>
          <w:rFonts w:cs="Times New Roman"/>
          <w:bCs/>
          <w:color w:val="000000"/>
          <w:shd w:val="clear" w:color="auto" w:fill="FFFFFF"/>
        </w:rPr>
        <w:t>информационно</w:t>
      </w:r>
      <w:r w:rsidRPr="00DA4D48">
        <w:rPr>
          <w:rFonts w:cs="Times New Roman"/>
          <w:color w:val="000000"/>
          <w:shd w:val="clear" w:color="auto" w:fill="FFFFFF"/>
        </w:rPr>
        <w:t> – </w:t>
      </w:r>
      <w:r w:rsidRPr="00DA4D48">
        <w:rPr>
          <w:rFonts w:cs="Times New Roman"/>
          <w:bCs/>
          <w:color w:val="000000"/>
          <w:shd w:val="clear" w:color="auto" w:fill="FFFFFF"/>
        </w:rPr>
        <w:t>статистическая</w:t>
      </w:r>
      <w:r w:rsidRPr="00DA4D48">
        <w:rPr>
          <w:rFonts w:cs="Times New Roman"/>
          <w:color w:val="000000"/>
          <w:shd w:val="clear" w:color="auto" w:fill="FFFFFF"/>
        </w:rPr>
        <w:t> система (</w:t>
      </w:r>
      <w:r w:rsidRPr="00DA4D48">
        <w:rPr>
          <w:rFonts w:cs="Times New Roman"/>
          <w:bCs/>
          <w:color w:val="000000"/>
          <w:shd w:val="clear" w:color="auto" w:fill="FFFFFF"/>
        </w:rPr>
        <w:t>ЕМИСС</w:t>
      </w:r>
      <w:r w:rsidRPr="00DA4D48">
        <w:rPr>
          <w:rFonts w:cs="Times New Roman"/>
          <w:color w:val="000000"/>
          <w:shd w:val="clear" w:color="auto" w:fill="FFFFFF"/>
        </w:rPr>
        <w:t xml:space="preserve">). – режим доступа: </w:t>
      </w:r>
      <w:r w:rsidRPr="00DA4D48">
        <w:rPr>
          <w:rStyle w:val="af2"/>
          <w:rFonts w:cs="Times New Roman"/>
          <w:color w:val="000000"/>
          <w:shd w:val="clear" w:color="auto" w:fill="FFFFFF"/>
        </w:rPr>
        <w:t>https://rosstat.gov.ru/emiss</w:t>
      </w:r>
      <w:r w:rsidRPr="00DA4D48">
        <w:rPr>
          <w:rFonts w:cs="Times New Roman"/>
          <w:color w:val="000000"/>
          <w:shd w:val="clear" w:color="auto" w:fill="FFFFFF"/>
        </w:rPr>
        <w:t xml:space="preserve"> (дата обращения 26.09.21)</w:t>
      </w:r>
    </w:p>
  </w:footnote>
  <w:footnote w:id="40">
    <w:p w:rsidR="00776CAD" w:rsidRPr="00DA4D48" w:rsidRDefault="00776CAD" w:rsidP="0042058C">
      <w:pPr>
        <w:pStyle w:val="aff4"/>
        <w:rPr>
          <w:rFonts w:cs="Times New Roman"/>
          <w:bCs/>
          <w:color w:val="000000"/>
          <w:shd w:val="clear" w:color="auto" w:fill="FFFFFF"/>
        </w:rPr>
      </w:pPr>
      <w:r w:rsidRPr="00DA4D48">
        <w:rPr>
          <w:rStyle w:val="aff7"/>
          <w:rFonts w:cs="Times New Roman"/>
        </w:rPr>
        <w:footnoteRef/>
      </w:r>
      <w:r w:rsidRPr="00DA4D48">
        <w:rPr>
          <w:rFonts w:cs="Times New Roman"/>
        </w:rPr>
        <w:t xml:space="preserve"> </w:t>
      </w:r>
      <w:r w:rsidRPr="00DA4D48">
        <w:rPr>
          <w:rFonts w:cs="Times New Roman"/>
          <w:bCs/>
          <w:color w:val="000000"/>
          <w:shd w:val="clear" w:color="auto" w:fill="FFFFFF"/>
        </w:rPr>
        <w:t>Там же (дата обращения 26.09.21).</w:t>
      </w:r>
    </w:p>
  </w:footnote>
  <w:footnote w:id="41">
    <w:p w:rsidR="00776CAD" w:rsidRPr="00DA4D48" w:rsidRDefault="00776CAD" w:rsidP="0042058C">
      <w:pPr>
        <w:pStyle w:val="aff4"/>
        <w:rPr>
          <w:rFonts w:cs="Times New Roman"/>
        </w:rPr>
      </w:pPr>
      <w:r w:rsidRPr="00DA4D48">
        <w:rPr>
          <w:rStyle w:val="aff7"/>
          <w:rFonts w:cs="Times New Roman"/>
        </w:rPr>
        <w:footnoteRef/>
      </w:r>
      <w:r w:rsidRPr="00DA4D48">
        <w:rPr>
          <w:rFonts w:cs="Times New Roman"/>
        </w:rPr>
        <w:t xml:space="preserve"> </w:t>
      </w:r>
      <w:r w:rsidRPr="00DA4D48">
        <w:rPr>
          <w:rFonts w:cs="Times New Roman"/>
          <w:bCs/>
          <w:color w:val="000000"/>
          <w:shd w:val="clear" w:color="auto" w:fill="FFFFFF"/>
        </w:rPr>
        <w:t xml:space="preserve">Составлено по: </w:t>
      </w:r>
      <w:r w:rsidRPr="00DA4D48">
        <w:rPr>
          <w:rFonts w:cs="Times New Roman"/>
          <w:color w:val="000000"/>
          <w:shd w:val="clear" w:color="auto" w:fill="FFFFFF"/>
        </w:rPr>
        <w:t xml:space="preserve">Данные по формам статистической налоговой отчетности муниципальных образований Ставропольского края </w:t>
      </w:r>
      <w:r w:rsidRPr="00DA4D48">
        <w:rPr>
          <w:rFonts w:cs="Times New Roman"/>
          <w:bCs/>
          <w:color w:val="000000"/>
          <w:kern w:val="36"/>
        </w:rPr>
        <w:t xml:space="preserve">– </w:t>
      </w:r>
      <w:r w:rsidRPr="00DA4D48">
        <w:rPr>
          <w:rFonts w:cs="Times New Roman"/>
          <w:color w:val="000000"/>
          <w:shd w:val="clear" w:color="auto" w:fill="FFFFFF"/>
        </w:rPr>
        <w:t>режим доступа: https://www.nalog.ru/rn26/related_activities/statistics_and_analytics/forms/ (дата обращения 26.09.21)</w:t>
      </w:r>
    </w:p>
  </w:footnote>
  <w:footnote w:id="42">
    <w:p w:rsidR="00776CAD" w:rsidRPr="00DA4D48" w:rsidRDefault="00776CAD" w:rsidP="0042058C">
      <w:pPr>
        <w:pStyle w:val="aff4"/>
        <w:rPr>
          <w:rFonts w:cs="Times New Roman"/>
          <w:color w:val="000000"/>
          <w:shd w:val="clear" w:color="auto" w:fill="FFFFFF"/>
        </w:rPr>
      </w:pPr>
      <w:r w:rsidRPr="00DA4D48">
        <w:rPr>
          <w:rStyle w:val="aff7"/>
          <w:rFonts w:cs="Times New Roman"/>
        </w:rPr>
        <w:footnoteRef/>
      </w:r>
      <w:r w:rsidRPr="00DA4D48">
        <w:rPr>
          <w:rFonts w:cs="Times New Roman"/>
        </w:rPr>
        <w:t xml:space="preserve"> </w:t>
      </w:r>
      <w:r w:rsidRPr="00DA4D48">
        <w:rPr>
          <w:rFonts w:cs="Times New Roman"/>
          <w:color w:val="000000"/>
          <w:shd w:val="clear" w:color="auto" w:fill="FFFFFF"/>
        </w:rPr>
        <w:t xml:space="preserve">Составлено на основе Единая межведомственная информационно – статистическая система (ЕМИСС). – режим доступа: </w:t>
      </w:r>
      <w:hyperlink r:id="rId1" w:history="1">
        <w:r w:rsidRPr="00DA4D48">
          <w:rPr>
            <w:rStyle w:val="af2"/>
            <w:rFonts w:cs="Times New Roman"/>
            <w:shd w:val="clear" w:color="auto" w:fill="FFFFFF"/>
          </w:rPr>
          <w:t>https://rosstat.gov.ru/emiss</w:t>
        </w:r>
      </w:hyperlink>
      <w:r w:rsidRPr="00DA4D48">
        <w:rPr>
          <w:rStyle w:val="af2"/>
          <w:rFonts w:cs="Times New Roman"/>
          <w:color w:val="000000"/>
          <w:shd w:val="clear" w:color="auto" w:fill="FFFFFF"/>
        </w:rPr>
        <w:t xml:space="preserve"> </w:t>
      </w:r>
      <w:r w:rsidRPr="00DA4D48">
        <w:rPr>
          <w:rFonts w:cs="Times New Roman"/>
          <w:color w:val="000000"/>
          <w:shd w:val="clear" w:color="auto" w:fill="FFFFFF"/>
        </w:rPr>
        <w:t>(дата обращения 26.09.21).</w:t>
      </w:r>
      <w:r w:rsidRPr="00DA4D48">
        <w:rPr>
          <w:rFonts w:cs="Times New Roman"/>
          <w:bCs/>
          <w:color w:val="000000"/>
          <w:shd w:val="clear" w:color="auto" w:fill="FFFFFF"/>
        </w:rPr>
        <w:t xml:space="preserve"> </w:t>
      </w:r>
    </w:p>
  </w:footnote>
  <w:footnote w:id="43">
    <w:p w:rsidR="00776CAD" w:rsidRPr="00EF7FE9" w:rsidRDefault="00776CAD" w:rsidP="00BA53A8">
      <w:pPr>
        <w:pStyle w:val="aff4"/>
        <w:rPr>
          <w:rFonts w:cs="Times New Roman"/>
          <w:color w:val="000000"/>
          <w:shd w:val="clear" w:color="auto" w:fill="FFFFFF"/>
        </w:rPr>
      </w:pPr>
      <w:r w:rsidRPr="00C36DE0">
        <w:rPr>
          <w:rFonts w:ascii="Arial" w:hAnsi="Arial" w:cs="Arial"/>
          <w:color w:val="000000"/>
          <w:shd w:val="clear" w:color="auto" w:fill="FFFFFF"/>
          <w:vertAlign w:val="superscript"/>
        </w:rPr>
        <w:footnoteRef/>
      </w:r>
      <w:r w:rsidRPr="00C36DE0">
        <w:rPr>
          <w:rFonts w:ascii="Arial" w:hAnsi="Arial" w:cs="Arial"/>
          <w:color w:val="000000"/>
          <w:shd w:val="clear" w:color="auto" w:fill="FFFFFF"/>
        </w:rPr>
        <w:t xml:space="preserve"> </w:t>
      </w:r>
      <w:r w:rsidRPr="00EF7FE9">
        <w:rPr>
          <w:rFonts w:cs="Times New Roman"/>
          <w:bCs/>
          <w:color w:val="000000"/>
          <w:shd w:val="clear" w:color="auto" w:fill="FFFFFF"/>
        </w:rPr>
        <w:t>Там же (дата обращения 26.09.21)</w:t>
      </w:r>
      <w:r w:rsidRPr="00EF7FE9">
        <w:rPr>
          <w:rFonts w:cs="Times New Roman"/>
          <w:color w:val="000000"/>
          <w:shd w:val="clear" w:color="auto" w:fill="FFFFFF"/>
        </w:rPr>
        <w:t>.</w:t>
      </w:r>
    </w:p>
  </w:footnote>
  <w:footnote w:id="44">
    <w:p w:rsidR="00776CAD" w:rsidRPr="00EF7FE9" w:rsidRDefault="00776CAD" w:rsidP="0042058C">
      <w:pPr>
        <w:pStyle w:val="aff4"/>
        <w:rPr>
          <w:rFonts w:cs="Times New Roman"/>
          <w:color w:val="000000"/>
          <w:shd w:val="clear" w:color="auto" w:fill="FFFFFF"/>
        </w:rPr>
      </w:pPr>
      <w:r w:rsidRPr="00EF7FE9">
        <w:rPr>
          <w:rFonts w:cs="Times New Roman"/>
          <w:color w:val="000000"/>
          <w:shd w:val="clear" w:color="auto" w:fill="FFFFFF"/>
          <w:vertAlign w:val="superscript"/>
        </w:rPr>
        <w:footnoteRef/>
      </w:r>
      <w:r w:rsidRPr="00EF7FE9">
        <w:rPr>
          <w:rFonts w:cs="Times New Roman"/>
          <w:bCs/>
          <w:color w:val="000000"/>
          <w:shd w:val="clear" w:color="auto" w:fill="FFFFFF"/>
        </w:rPr>
        <w:t xml:space="preserve"> Там же (дата обращения 26.09.21)</w:t>
      </w:r>
      <w:r w:rsidRPr="00EF7FE9">
        <w:rPr>
          <w:rFonts w:cs="Times New Roman"/>
          <w:color w:val="000000"/>
          <w:shd w:val="clear" w:color="auto" w:fill="FFFFFF"/>
        </w:rPr>
        <w:t>.</w:t>
      </w:r>
    </w:p>
  </w:footnote>
  <w:footnote w:id="45">
    <w:p w:rsidR="00776CAD" w:rsidRDefault="00776CAD" w:rsidP="0042058C">
      <w:pPr>
        <w:pStyle w:val="aff4"/>
      </w:pPr>
      <w:r>
        <w:rPr>
          <w:rStyle w:val="aff7"/>
        </w:rPr>
        <w:footnoteRef/>
      </w:r>
      <w:r>
        <w:t xml:space="preserve"> </w:t>
      </w:r>
      <w:r w:rsidRPr="008204C3">
        <w:t>Составлено на основе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46">
    <w:p w:rsidR="00776CAD" w:rsidRDefault="00776CAD" w:rsidP="0042058C">
      <w:pPr>
        <w:pStyle w:val="aff4"/>
      </w:pPr>
      <w:r>
        <w:rPr>
          <w:rStyle w:val="aff7"/>
        </w:rPr>
        <w:footnoteRef/>
      </w:r>
      <w:r>
        <w:t xml:space="preserve"> </w:t>
      </w:r>
      <w:r w:rsidRPr="007C6077">
        <w:t>Составлено по: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47">
    <w:p w:rsidR="00776CAD" w:rsidRDefault="00776CAD" w:rsidP="0042058C">
      <w:pPr>
        <w:pStyle w:val="aff4"/>
      </w:pPr>
      <w:r>
        <w:rPr>
          <w:rStyle w:val="aff7"/>
        </w:rPr>
        <w:footnoteRef/>
      </w:r>
      <w:r>
        <w:t xml:space="preserve"> </w:t>
      </w:r>
      <w:r w:rsidRPr="00791194">
        <w:t>Там же</w:t>
      </w:r>
    </w:p>
  </w:footnote>
  <w:footnote w:id="48">
    <w:p w:rsidR="00776CAD" w:rsidRDefault="00776CAD" w:rsidP="0042058C">
      <w:pPr>
        <w:pStyle w:val="aff4"/>
      </w:pPr>
      <w:r>
        <w:rPr>
          <w:rStyle w:val="aff7"/>
        </w:rPr>
        <w:footnoteRef/>
      </w:r>
      <w:r>
        <w:t xml:space="preserve"> </w:t>
      </w:r>
      <w:r w:rsidRPr="00791194">
        <w:t>Составлено на основе: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49">
    <w:p w:rsidR="00776CAD" w:rsidRDefault="00776CAD" w:rsidP="0042058C">
      <w:pPr>
        <w:pStyle w:val="aff4"/>
      </w:pPr>
      <w:r>
        <w:rPr>
          <w:rStyle w:val="aff7"/>
        </w:rPr>
        <w:footnoteRef/>
      </w:r>
      <w:r>
        <w:t xml:space="preserve"> </w:t>
      </w:r>
      <w:r w:rsidRPr="00551445">
        <w:t>Составлено на основе Статистическая информация о социально-экономическом положении городских округов и муниципальных районов Ставропольского края – режим доступа: https://stavstat.gks.ru/folder/34671 (дата обращения 26.09.21).</w:t>
      </w:r>
    </w:p>
  </w:footnote>
  <w:footnote w:id="50">
    <w:p w:rsidR="00776CAD" w:rsidRDefault="00776CAD" w:rsidP="0042058C">
      <w:pPr>
        <w:pStyle w:val="aff4"/>
      </w:pPr>
      <w:r>
        <w:rPr>
          <w:rStyle w:val="aff7"/>
        </w:rPr>
        <w:footnoteRef/>
      </w:r>
      <w:r>
        <w:t xml:space="preserve"> </w:t>
      </w:r>
      <w:r w:rsidRPr="006350CD">
        <w:t>Там же (дата обращения 26.09.21).</w:t>
      </w:r>
    </w:p>
  </w:footnote>
  <w:footnote w:id="51">
    <w:p w:rsidR="00776CAD" w:rsidRDefault="00776CAD" w:rsidP="0042058C">
      <w:pPr>
        <w:pStyle w:val="aff4"/>
      </w:pPr>
      <w:r>
        <w:rPr>
          <w:rStyle w:val="aff7"/>
        </w:rPr>
        <w:footnoteRef/>
      </w:r>
      <w:r>
        <w:t xml:space="preserve"> </w:t>
      </w:r>
      <w:r w:rsidRPr="00C54B4A">
        <w:t>Составлено по: Статистическая информация о социально-экономическом положении городских округов и муниципальных районов Ставропольского края – режим доступа: https://stavstat.gks.ru/folder/34671 (дата обращения 26.09.21).</w:t>
      </w:r>
    </w:p>
  </w:footnote>
  <w:footnote w:id="52">
    <w:p w:rsidR="00776CAD" w:rsidRDefault="00776CAD" w:rsidP="0042058C">
      <w:pPr>
        <w:pStyle w:val="aff4"/>
      </w:pPr>
      <w:r>
        <w:rPr>
          <w:rStyle w:val="aff7"/>
        </w:rPr>
        <w:footnoteRef/>
      </w:r>
      <w:r>
        <w:t xml:space="preserve"> </w:t>
      </w:r>
      <w:r w:rsidRPr="002D25FB">
        <w:t>Составлено по: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53">
    <w:p w:rsidR="00776CAD" w:rsidRDefault="00776CAD" w:rsidP="0042058C">
      <w:pPr>
        <w:pStyle w:val="aff4"/>
      </w:pPr>
      <w:r>
        <w:rPr>
          <w:rStyle w:val="aff7"/>
        </w:rPr>
        <w:footnoteRef/>
      </w:r>
      <w:r>
        <w:t xml:space="preserve"> </w:t>
      </w:r>
      <w:r w:rsidRPr="00094ABC">
        <w:t>Составлено на основе Статистический ежегодник Ставропольский край. 2020: стат. сб. / Северо-Кавказстат. – Ставрополь, 2020. – 267 с.</w:t>
      </w:r>
    </w:p>
  </w:footnote>
  <w:footnote w:id="54">
    <w:p w:rsidR="00776CAD" w:rsidRDefault="00776CAD" w:rsidP="0042058C">
      <w:pPr>
        <w:pStyle w:val="aff4"/>
      </w:pPr>
      <w:r>
        <w:rPr>
          <w:rStyle w:val="aff7"/>
        </w:rPr>
        <w:footnoteRef/>
      </w:r>
      <w:r>
        <w:t xml:space="preserve"> </w:t>
      </w:r>
      <w:r w:rsidRPr="0018468B">
        <w:t>Составлено на основе Статистический сборник Жилищно-коммунальное хозяйство в Ставропольском крае за 2010-2019 годы. 2020: стат. сб. /Северо-Кавказстат. - Ставрополь, 2020. – 68 с.</w:t>
      </w:r>
    </w:p>
  </w:footnote>
  <w:footnote w:id="55">
    <w:p w:rsidR="00776CAD" w:rsidRDefault="00776CAD" w:rsidP="0042058C">
      <w:pPr>
        <w:pStyle w:val="aff4"/>
      </w:pPr>
      <w:r>
        <w:rPr>
          <w:rStyle w:val="aff7"/>
        </w:rPr>
        <w:footnoteRef/>
      </w:r>
      <w:r>
        <w:t xml:space="preserve"> </w:t>
      </w:r>
      <w:r w:rsidRPr="0018468B">
        <w:t>Составлено на основе Статистический ежегодник Ставропольский край. 2020: стат. сб. / Северо-Кавказстат. – Ставрополь, 2020. – 267 с.</w:t>
      </w:r>
    </w:p>
  </w:footnote>
  <w:footnote w:id="56">
    <w:p w:rsidR="00776CAD" w:rsidRDefault="00776CAD" w:rsidP="0042058C">
      <w:pPr>
        <w:pStyle w:val="aff4"/>
      </w:pPr>
      <w:r>
        <w:rPr>
          <w:rStyle w:val="aff7"/>
        </w:rPr>
        <w:footnoteRef/>
      </w:r>
      <w:r>
        <w:t xml:space="preserve"> </w:t>
      </w:r>
      <w:r w:rsidRPr="00FD6137">
        <w:t>Составлено по: Паспорт социально-экономического положения Труновского муниципального округа за 2005, 2010-2019 годы: стат. сб. / Северо-Кавказстат. – Ставрополь, 2020. – 30 с.</w:t>
      </w:r>
    </w:p>
  </w:footnote>
  <w:footnote w:id="57">
    <w:p w:rsidR="00776CAD" w:rsidRDefault="00776CAD" w:rsidP="0042058C">
      <w:pPr>
        <w:pStyle w:val="aff4"/>
      </w:pPr>
      <w:r>
        <w:rPr>
          <w:rStyle w:val="aff7"/>
        </w:rPr>
        <w:footnoteRef/>
      </w:r>
      <w:r>
        <w:t xml:space="preserve"> </w:t>
      </w:r>
      <w:r w:rsidRPr="003C22DD">
        <w:t>Составлено на основе Единая межведомственная информационно – статистическая система (ЕМИСС). – режим доступа: https://rosstat.gov.ru/emiss (дата обращения 26.09.21).</w:t>
      </w:r>
    </w:p>
  </w:footnote>
  <w:footnote w:id="58">
    <w:p w:rsidR="00776CAD" w:rsidRDefault="00776CAD" w:rsidP="0042058C">
      <w:pPr>
        <w:pStyle w:val="aff4"/>
      </w:pPr>
      <w:r>
        <w:rPr>
          <w:rStyle w:val="aff7"/>
        </w:rPr>
        <w:footnoteRef/>
      </w:r>
      <w:r>
        <w:t xml:space="preserve"> </w:t>
      </w:r>
      <w:r w:rsidRPr="003C22DD">
        <w:t>Составлено на основе Единая межведомственная информационно – статистическая система (ЕМИСС). – режим доступа: https://rosstat.gov.ru/emiss (дата обращения 26.09.21).</w:t>
      </w:r>
    </w:p>
  </w:footnote>
  <w:footnote w:id="59">
    <w:p w:rsidR="00776CAD" w:rsidRDefault="00776CAD" w:rsidP="0042058C">
      <w:pPr>
        <w:pStyle w:val="aff4"/>
      </w:pPr>
      <w:r>
        <w:rPr>
          <w:rStyle w:val="aff7"/>
        </w:rPr>
        <w:footnoteRef/>
      </w:r>
      <w:r>
        <w:t xml:space="preserve"> </w:t>
      </w:r>
      <w:r w:rsidRPr="009677DB">
        <w:t>Составлено на основе Единая межведомственная информационно – статистическая система (ЕМИСС). – режим доступа: https://rosstat.gov.ru/emiss (дата обращения 26.09.21).</w:t>
      </w:r>
    </w:p>
  </w:footnote>
  <w:footnote w:id="60">
    <w:p w:rsidR="00776CAD" w:rsidRDefault="00776CAD" w:rsidP="0042058C">
      <w:pPr>
        <w:pStyle w:val="aff4"/>
      </w:pPr>
      <w:r>
        <w:rPr>
          <w:rStyle w:val="aff7"/>
        </w:rPr>
        <w:footnoteRef/>
      </w:r>
      <w:r>
        <w:t xml:space="preserve"> </w:t>
      </w:r>
      <w:r w:rsidRPr="009677DB">
        <w:t>Составлено на основе Единая межведомственная информационно – статистическая система (ЕМИСС). – режим доступа: https://rosstat.gov.ru/emiss (дата обращения 26.09.21).</w:t>
      </w:r>
    </w:p>
  </w:footnote>
  <w:footnote w:id="61">
    <w:p w:rsidR="00776CAD" w:rsidRDefault="00776CAD" w:rsidP="0042058C">
      <w:pPr>
        <w:pStyle w:val="aff4"/>
      </w:pPr>
      <w:r>
        <w:rPr>
          <w:rStyle w:val="aff7"/>
        </w:rPr>
        <w:footnoteRef/>
      </w:r>
      <w:r>
        <w:t xml:space="preserve"> </w:t>
      </w:r>
      <w:r w:rsidRPr="00A45305">
        <w:t>Федеральная служба государственной статистики по Ставропольскому краю и данные отдела образования администрации Труновского муниципального округа, 2019, 2020 гг.</w:t>
      </w:r>
    </w:p>
  </w:footnote>
  <w:footnote w:id="62">
    <w:p w:rsidR="00776CAD" w:rsidRDefault="00776CAD" w:rsidP="0042058C">
      <w:pPr>
        <w:pStyle w:val="aff4"/>
      </w:pPr>
      <w:r>
        <w:rPr>
          <w:rStyle w:val="aff7"/>
        </w:rPr>
        <w:footnoteRef/>
      </w:r>
      <w:r>
        <w:t xml:space="preserve"> </w:t>
      </w:r>
      <w:r w:rsidRPr="00CB1B62">
        <w:t>Федеральная служба государственной статистики по Ставропольскому краю, 2021 г.</w:t>
      </w:r>
    </w:p>
  </w:footnote>
  <w:footnote w:id="63">
    <w:p w:rsidR="00776CAD" w:rsidRDefault="00776CAD" w:rsidP="0042058C">
      <w:pPr>
        <w:pStyle w:val="aff4"/>
      </w:pPr>
      <w:r>
        <w:rPr>
          <w:rStyle w:val="aff7"/>
        </w:rPr>
        <w:footnoteRef/>
      </w:r>
      <w:r>
        <w:t xml:space="preserve"> </w:t>
      </w:r>
      <w:r w:rsidRPr="005776FC">
        <w:t>Данные ГБУЗ СК «Труновская РБ» и территориальных управлений Труновского муниципального округа, 2021 г</w:t>
      </w:r>
    </w:p>
  </w:footnote>
  <w:footnote w:id="64">
    <w:p w:rsidR="00776CAD" w:rsidRDefault="00776CAD" w:rsidP="0042058C">
      <w:pPr>
        <w:pStyle w:val="aff4"/>
      </w:pPr>
      <w:r>
        <w:rPr>
          <w:rStyle w:val="aff7"/>
        </w:rPr>
        <w:footnoteRef/>
      </w:r>
      <w:r>
        <w:t xml:space="preserve"> 1) Белая книга. Отчет о деятельности здравоохранения Ставропольского края / Медицинский информационно-аналитический центр. – Ставрополь – 2020.</w:t>
      </w:r>
    </w:p>
    <w:p w:rsidR="00776CAD" w:rsidRDefault="00776CAD" w:rsidP="0042058C">
      <w:pPr>
        <w:pStyle w:val="aff4"/>
      </w:pPr>
      <w:r>
        <w:t>2) Данные ГБУЗ СК «Труновская РБ».</w:t>
      </w:r>
    </w:p>
  </w:footnote>
  <w:footnote w:id="65">
    <w:p w:rsidR="00776CAD" w:rsidRDefault="00776CAD" w:rsidP="0042058C">
      <w:pPr>
        <w:pStyle w:val="aff4"/>
      </w:pPr>
      <w:r>
        <w:rPr>
          <w:rStyle w:val="aff7"/>
        </w:rPr>
        <w:footnoteRef/>
      </w:r>
      <w:r>
        <w:t xml:space="preserve"> </w:t>
      </w:r>
      <w:r w:rsidRPr="007C7433">
        <w:t>Основные показатели развития системы социального обслуживания граждан пожилого возраста и инвалидов в Ставропольском крае // Государственное бюджетное учреждение социального обслуживания «Труновский комплексный центр социального обслуживания населения», 2020 г.</w:t>
      </w:r>
    </w:p>
  </w:footnote>
  <w:footnote w:id="66">
    <w:p w:rsidR="00776CAD" w:rsidRDefault="00776CAD" w:rsidP="0042058C">
      <w:pPr>
        <w:pStyle w:val="aff4"/>
      </w:pPr>
      <w:r>
        <w:rPr>
          <w:rStyle w:val="aff7"/>
        </w:rPr>
        <w:footnoteRef/>
      </w:r>
      <w:r>
        <w:t xml:space="preserve">  1) Жилищно-коммунальное хозяйство в Ставропольском крае за 2010-2019 гг. Статистический сборник/Управление Федеральной службы государственной статистики по Северо-Кавказскому Федеральному округу. – Ставрополь – 2020 – 7 с.;</w:t>
      </w:r>
    </w:p>
    <w:p w:rsidR="00776CAD" w:rsidRDefault="00776CAD" w:rsidP="0042058C">
      <w:pPr>
        <w:pStyle w:val="aff4"/>
      </w:pPr>
      <w:r>
        <w:t>2) Федеральная служба государственной статистики по Ставропольскому краю, 2021 г.</w:t>
      </w:r>
    </w:p>
    <w:p w:rsidR="00776CAD" w:rsidRDefault="00776CAD" w:rsidP="0042058C">
      <w:pPr>
        <w:pStyle w:val="aff4"/>
      </w:pPr>
      <w:r>
        <w:t>3) Территориальные управления Труновского муниципального округа, 2021 г.</w:t>
      </w:r>
    </w:p>
  </w:footnote>
  <w:footnote w:id="67">
    <w:p w:rsidR="00776CAD" w:rsidRDefault="00776CAD" w:rsidP="0042058C">
      <w:pPr>
        <w:pStyle w:val="aff4"/>
      </w:pPr>
      <w:r>
        <w:rPr>
          <w:rStyle w:val="aff7"/>
        </w:rPr>
        <w:footnoteRef/>
      </w:r>
      <w:r>
        <w:t xml:space="preserve"> </w:t>
      </w:r>
      <w:r w:rsidRPr="005839FF">
        <w:t>Жилищно-коммунальное хозяйство в Ставропольском крае за 2010-20</w:t>
      </w:r>
      <w:r>
        <w:t>19 гг. Статистический сборник/</w:t>
      </w:r>
      <w:r w:rsidRPr="005839FF">
        <w:t>Управление Федеральной службы государственной статистики по Северо-Кавказскому Федеральному округу. – Ставрополь – 2020 – 20 с.</w:t>
      </w:r>
    </w:p>
  </w:footnote>
  <w:footnote w:id="68">
    <w:p w:rsidR="00776CAD" w:rsidRDefault="00776CAD" w:rsidP="0042058C">
      <w:pPr>
        <w:pStyle w:val="aff4"/>
      </w:pPr>
      <w:r>
        <w:rPr>
          <w:rStyle w:val="aff7"/>
        </w:rPr>
        <w:footnoteRef/>
      </w:r>
      <w:r>
        <w:t xml:space="preserve"> </w:t>
      </w:r>
      <w:r w:rsidRPr="005839FF">
        <w:t>Данные территориальных управлений Труновского муниципального округа, 2021 г.</w:t>
      </w:r>
    </w:p>
  </w:footnote>
  <w:footnote w:id="69">
    <w:p w:rsidR="00776CAD" w:rsidRDefault="00776CAD" w:rsidP="0042058C">
      <w:pPr>
        <w:pStyle w:val="aff4"/>
      </w:pPr>
      <w:r>
        <w:rPr>
          <w:rStyle w:val="aff7"/>
        </w:rPr>
        <w:footnoteRef/>
      </w:r>
      <w:r>
        <w:t xml:space="preserve"> </w:t>
      </w:r>
      <w:r w:rsidRPr="005839FF">
        <w:t>Данные территориальных управлений Труновского муниципального округа, 2021 г.</w:t>
      </w:r>
    </w:p>
  </w:footnote>
  <w:footnote w:id="70">
    <w:p w:rsidR="00776CAD" w:rsidRDefault="00776CAD" w:rsidP="0042058C">
      <w:pPr>
        <w:pStyle w:val="aff4"/>
      </w:pPr>
      <w:r>
        <w:rPr>
          <w:rStyle w:val="aff7"/>
        </w:rPr>
        <w:footnoteRef/>
      </w:r>
      <w:r>
        <w:t xml:space="preserve"> </w:t>
      </w:r>
      <w:r w:rsidRPr="00F12418">
        <w:t>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23 с.</w:t>
      </w:r>
    </w:p>
  </w:footnote>
  <w:footnote w:id="71">
    <w:p w:rsidR="00776CAD" w:rsidRDefault="00776CAD" w:rsidP="0042058C">
      <w:pPr>
        <w:pStyle w:val="aff4"/>
      </w:pPr>
      <w:r>
        <w:rPr>
          <w:rStyle w:val="aff7"/>
        </w:rPr>
        <w:footnoteRef/>
      </w:r>
      <w:r>
        <w:t xml:space="preserve"> </w:t>
      </w:r>
      <w:r w:rsidRPr="00F12418">
        <w:t>Жилищно-коммунальное хозяйство в Ставропольском крае за 2010-20</w:t>
      </w:r>
      <w:r>
        <w:t>19 гг. Статистический сборник/</w:t>
      </w:r>
      <w:r w:rsidRPr="00F12418">
        <w:t>Управление Федеральной службы государственной статистики по Северо-Кавказскому Федеральному округу. – Ставрополь – 2020 – 22-24 с.</w:t>
      </w:r>
    </w:p>
  </w:footnote>
  <w:footnote w:id="72">
    <w:p w:rsidR="00776CAD" w:rsidRDefault="00776CAD" w:rsidP="0042058C">
      <w:pPr>
        <w:pStyle w:val="aff4"/>
      </w:pPr>
      <w:r>
        <w:rPr>
          <w:rStyle w:val="aff7"/>
        </w:rPr>
        <w:footnoteRef/>
      </w:r>
      <w:r>
        <w:t xml:space="preserve"> 1) Жилищно-коммунальное хозяйство в Ставропольском крае за 2010-2019 гг. Статистический сборник/Управление Федеральной службы государственной статистики по Северо-Кавказскому Федеральному округу. – Ставрополь – 2020 – 33 с.</w:t>
      </w:r>
    </w:p>
    <w:p w:rsidR="00776CAD" w:rsidRDefault="00776CAD" w:rsidP="0042058C">
      <w:pPr>
        <w:pStyle w:val="aff4"/>
      </w:pPr>
      <w:r>
        <w:t>2) Данные территориальных управлений Труновского муниципального округа, 2021 г.</w:t>
      </w:r>
    </w:p>
  </w:footnote>
  <w:footnote w:id="73">
    <w:p w:rsidR="00776CAD" w:rsidRDefault="00776CAD" w:rsidP="0042058C">
      <w:pPr>
        <w:pStyle w:val="aff4"/>
      </w:pPr>
      <w:r>
        <w:rPr>
          <w:rStyle w:val="aff7"/>
        </w:rPr>
        <w:footnoteRef/>
      </w:r>
      <w:r>
        <w:t xml:space="preserve"> 1) Жилищно-коммунальное хозяйство в Ставропольском крае за 2010-2019 гг. Статистический сборник / Управление Федеральной службы государственной статистики по Северо-Кавказскому Федеральному округу. – Ставрополь – 2020 – 30 с.</w:t>
      </w:r>
    </w:p>
    <w:p w:rsidR="00776CAD" w:rsidRDefault="00776CAD" w:rsidP="0042058C">
      <w:pPr>
        <w:pStyle w:val="aff4"/>
      </w:pPr>
      <w:r>
        <w:t>2) Данные территориальных управлений Труновского муниципального округа, 2021 г.</w:t>
      </w:r>
    </w:p>
  </w:footnote>
  <w:footnote w:id="74">
    <w:p w:rsidR="00776CAD" w:rsidRDefault="00776CAD" w:rsidP="0042058C">
      <w:pPr>
        <w:pStyle w:val="aff4"/>
      </w:pPr>
      <w:r>
        <w:rPr>
          <w:rStyle w:val="aff7"/>
        </w:rPr>
        <w:footnoteRef/>
      </w:r>
      <w:r>
        <w:t xml:space="preserve"> </w:t>
      </w:r>
      <w:r w:rsidRPr="00774C95">
        <w:t>Статистический ежегодник. Статистический сборник / Управление Федеральной службы государственной статистики по Северо-Кавказскому Федеральному округу. – Ставрополь – 2020 – 159 с.</w:t>
      </w:r>
    </w:p>
  </w:footnote>
  <w:footnote w:id="75">
    <w:p w:rsidR="00776CAD" w:rsidRPr="005B0861" w:rsidRDefault="00776CAD" w:rsidP="0042058C">
      <w:pPr>
        <w:pStyle w:val="aff4"/>
      </w:pPr>
      <w:r w:rsidRPr="005B0861">
        <w:rPr>
          <w:rStyle w:val="aff7"/>
        </w:rPr>
        <w:footnoteRef/>
      </w:r>
      <w:r w:rsidRPr="005B0861">
        <w:t xml:space="preserve"> База данных муниципальных образований Ставропольского края за 2020 г.</w:t>
      </w:r>
    </w:p>
  </w:footnote>
  <w:footnote w:id="76">
    <w:p w:rsidR="00776CAD" w:rsidRPr="005B0861" w:rsidRDefault="00776CAD" w:rsidP="0042058C">
      <w:pPr>
        <w:pStyle w:val="aff4"/>
      </w:pPr>
      <w:r w:rsidRPr="005B0861">
        <w:rPr>
          <w:rStyle w:val="aff7"/>
        </w:rPr>
        <w:footnoteRef/>
      </w:r>
      <w:r w:rsidRPr="005B0861">
        <w:t xml:space="preserve"> Там же</w:t>
      </w:r>
    </w:p>
  </w:footnote>
  <w:footnote w:id="77">
    <w:p w:rsidR="00776CAD" w:rsidRPr="005B0861" w:rsidRDefault="00776CAD" w:rsidP="0042058C">
      <w:pPr>
        <w:pStyle w:val="aff4"/>
      </w:pPr>
      <w:r w:rsidRPr="005B0861">
        <w:rPr>
          <w:rStyle w:val="aff7"/>
        </w:rPr>
        <w:footnoteRef/>
      </w:r>
      <w:r w:rsidRPr="005B0861">
        <w:t xml:space="preserve"> Там же</w:t>
      </w:r>
    </w:p>
  </w:footnote>
  <w:footnote w:id="78">
    <w:p w:rsidR="00776CAD" w:rsidRPr="005B0861" w:rsidRDefault="00776CAD" w:rsidP="0042058C">
      <w:pPr>
        <w:pStyle w:val="aff4"/>
      </w:pPr>
      <w:r w:rsidRPr="005B0861">
        <w:rPr>
          <w:rStyle w:val="aff7"/>
        </w:rPr>
        <w:footnoteRef/>
      </w:r>
      <w:r w:rsidRPr="005B0861">
        <w:t xml:space="preserve"> Данные администрации Труновского муниципального округа</w:t>
      </w:r>
    </w:p>
  </w:footnote>
  <w:footnote w:id="79">
    <w:p w:rsidR="00776CAD" w:rsidRPr="005B0861" w:rsidRDefault="00776CAD" w:rsidP="0042058C">
      <w:pPr>
        <w:pStyle w:val="aff4"/>
      </w:pPr>
      <w:r w:rsidRPr="005B0861">
        <w:rPr>
          <w:rStyle w:val="aff7"/>
        </w:rPr>
        <w:footnoteRef/>
      </w:r>
      <w:r w:rsidRPr="005B0861">
        <w:t xml:space="preserve"> База данных муниципальных образований</w:t>
      </w:r>
    </w:p>
  </w:footnote>
  <w:footnote w:id="80">
    <w:p w:rsidR="00776CAD" w:rsidRPr="00F56BCA" w:rsidRDefault="00776CAD" w:rsidP="0042058C">
      <w:pPr>
        <w:pStyle w:val="aff4"/>
      </w:pPr>
      <w:r w:rsidRPr="00F56BCA">
        <w:rPr>
          <w:rStyle w:val="aff7"/>
        </w:rPr>
        <w:footnoteRef/>
      </w:r>
      <w:r w:rsidRPr="00F56BCA">
        <w:t xml:space="preserve"> Жилищно-коммунальное хозяйство в Ставропольском крае за 2010-2020 годы. Стат. сб. /Северо-Кавказстат. - Ставрополь, 2021. – 68 с.</w:t>
      </w:r>
    </w:p>
  </w:footnote>
  <w:footnote w:id="81">
    <w:p w:rsidR="00776CAD" w:rsidRPr="00754667" w:rsidRDefault="00776CAD" w:rsidP="0042058C">
      <w:pPr>
        <w:pStyle w:val="aff4"/>
      </w:pPr>
      <w:r w:rsidRPr="00754667">
        <w:rPr>
          <w:rStyle w:val="aff7"/>
        </w:rPr>
        <w:footnoteRef/>
      </w:r>
      <w:r w:rsidRPr="00754667">
        <w:t xml:space="preserve"> Доклад о состоянии окружающей среды и природопользовании в Ставропольском крае в 2020 году, 2021 г.</w:t>
      </w:r>
    </w:p>
  </w:footnote>
  <w:footnote w:id="82">
    <w:p w:rsidR="00776CAD" w:rsidRPr="00754667" w:rsidRDefault="00776CAD" w:rsidP="0042058C">
      <w:pPr>
        <w:pStyle w:val="aff4"/>
      </w:pPr>
      <w:r w:rsidRPr="00754667">
        <w:rPr>
          <w:rStyle w:val="aff7"/>
        </w:rPr>
        <w:footnoteRef/>
      </w:r>
      <w:r w:rsidRPr="00754667">
        <w:t xml:space="preserve"> Лесной план Ставропольского края, 2020 г.</w:t>
      </w:r>
    </w:p>
  </w:footnote>
  <w:footnote w:id="83">
    <w:p w:rsidR="00776CAD" w:rsidRPr="00754667" w:rsidRDefault="00776CAD" w:rsidP="0042058C">
      <w:pPr>
        <w:pStyle w:val="aff4"/>
      </w:pPr>
      <w:r w:rsidRPr="00754667">
        <w:rPr>
          <w:rStyle w:val="aff7"/>
        </w:rPr>
        <w:footnoteRef/>
      </w:r>
      <w:r w:rsidRPr="00754667">
        <w:t xml:space="preserve"> Лесной план Ставропольского края, 2020 г.</w:t>
      </w:r>
    </w:p>
  </w:footnote>
  <w:footnote w:id="84">
    <w:p w:rsidR="00776CAD" w:rsidRPr="00754667" w:rsidRDefault="00776CAD" w:rsidP="0042058C">
      <w:pPr>
        <w:pStyle w:val="aff4"/>
      </w:pPr>
      <w:r w:rsidRPr="00754667">
        <w:rPr>
          <w:rStyle w:val="aff7"/>
        </w:rPr>
        <w:footnoteRef/>
      </w:r>
      <w:r w:rsidRPr="00754667">
        <w:t xml:space="preserve"> Территориальная схема обращения с отходами в Ставропольском крае, 2021 г.</w:t>
      </w:r>
    </w:p>
  </w:footnote>
  <w:footnote w:id="85">
    <w:p w:rsidR="00776CAD" w:rsidRPr="00754667" w:rsidRDefault="00776CAD" w:rsidP="0042058C">
      <w:pPr>
        <w:pStyle w:val="aff4"/>
      </w:pPr>
      <w:r w:rsidRPr="00754667">
        <w:rPr>
          <w:rStyle w:val="aff7"/>
        </w:rPr>
        <w:footnoteRef/>
      </w:r>
      <w:r w:rsidRPr="00754667">
        <w:t xml:space="preserve"> Территориальная схема обращения с отходами в Ставропольском крае, 2021 г.</w:t>
      </w:r>
    </w:p>
  </w:footnote>
  <w:footnote w:id="86">
    <w:p w:rsidR="00776CAD" w:rsidRPr="00754667" w:rsidRDefault="00776CAD" w:rsidP="0042058C">
      <w:pPr>
        <w:pStyle w:val="aff4"/>
      </w:pPr>
      <w:r w:rsidRPr="00754667">
        <w:rPr>
          <w:rStyle w:val="aff7"/>
        </w:rPr>
        <w:footnoteRef/>
      </w:r>
      <w:r w:rsidRPr="00754667">
        <w:t xml:space="preserve"> Территориальная схема обращения с отходами в Ставропольском крае, 2021 г.</w:t>
      </w:r>
    </w:p>
  </w:footnote>
  <w:footnote w:id="87">
    <w:p w:rsidR="00776CAD" w:rsidRPr="00754667" w:rsidRDefault="00776CAD" w:rsidP="0042058C">
      <w:pPr>
        <w:pStyle w:val="aff4"/>
      </w:pPr>
      <w:r w:rsidRPr="00754667">
        <w:rPr>
          <w:rStyle w:val="aff7"/>
        </w:rPr>
        <w:footnoteRef/>
      </w:r>
      <w:r w:rsidRPr="00754667">
        <w:t xml:space="preserve"> Составлено на основе табл. 4.2 СП 42.13330.2016 Градостроительство. Планировка и застройка городских и сельских поселений Актуализированная редакция СНиП 2.07.01-89*</w:t>
      </w:r>
    </w:p>
  </w:footnote>
  <w:footnote w:id="88">
    <w:p w:rsidR="00776CAD" w:rsidRPr="00754667" w:rsidRDefault="00776CAD" w:rsidP="0042058C">
      <w:pPr>
        <w:pStyle w:val="aff4"/>
      </w:pPr>
      <w:r w:rsidRPr="00754667">
        <w:rPr>
          <w:rStyle w:val="aff7"/>
        </w:rPr>
        <w:footnoteRef/>
      </w:r>
      <w:r w:rsidRPr="00754667">
        <w:t xml:space="preserve"> Георгица, И.М. Специфика городского экологического каркаса // Ярославский педагогический вестник – 2011 – № 2 – Том III (Естественные науки). – С. 133-136.</w:t>
      </w:r>
    </w:p>
  </w:footnote>
  <w:footnote w:id="89">
    <w:p w:rsidR="00776CAD" w:rsidRPr="0058643D" w:rsidRDefault="00776CAD" w:rsidP="0042058C">
      <w:pPr>
        <w:pStyle w:val="aff4"/>
      </w:pPr>
      <w:r w:rsidRPr="0058643D">
        <w:rPr>
          <w:rStyle w:val="aff7"/>
        </w:rPr>
        <w:footnoteRef/>
      </w:r>
      <w:r w:rsidRPr="0058643D">
        <w:t xml:space="preserve"> Приказ Министерства здравоохранения Российской Федерации от 27 февраля 2016 года №132н «О </w:t>
      </w:r>
      <w:hyperlink r:id="rId2" w:anchor="6540IN" w:history="1">
        <w:r w:rsidRPr="0058643D">
          <w:t>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hyperlink>
      <w:r w:rsidRPr="0058643D">
        <w:t>»</w:t>
      </w:r>
    </w:p>
  </w:footnote>
  <w:footnote w:id="90">
    <w:p w:rsidR="00776CAD" w:rsidRPr="00854FA1" w:rsidRDefault="00776CAD" w:rsidP="0042058C">
      <w:pPr>
        <w:pStyle w:val="aff4"/>
      </w:pPr>
      <w:r w:rsidRPr="00854FA1">
        <w:rPr>
          <w:rStyle w:val="aff7"/>
        </w:rPr>
        <w:footnoteRef/>
      </w:r>
      <w:r w:rsidRPr="00854FA1">
        <w:t xml:space="preserve"> –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91">
    <w:p w:rsidR="00776CAD" w:rsidRPr="009A6C79" w:rsidRDefault="00776CAD" w:rsidP="0042058C">
      <w:pPr>
        <w:pStyle w:val="aff4"/>
        <w:rPr>
          <w:rFonts w:ascii="Arial" w:hAnsi="Arial" w:cs="Arial"/>
        </w:rPr>
      </w:pPr>
      <w:r w:rsidRPr="009A6C79">
        <w:rPr>
          <w:rStyle w:val="aff7"/>
          <w:rFonts w:ascii="Arial" w:hAnsi="Arial" w:cs="Arial"/>
        </w:rPr>
        <w:footnoteRef/>
      </w:r>
      <w:r w:rsidRPr="009A6C79">
        <w:rPr>
          <w:rFonts w:ascii="Arial" w:hAnsi="Arial" w:cs="Arial"/>
        </w:rPr>
        <w:t xml:space="preserve"> Таблица составлена на основе проведения экспертной оценки</w:t>
      </w:r>
    </w:p>
  </w:footnote>
  <w:footnote w:id="92">
    <w:p w:rsidR="00776CAD" w:rsidRPr="00901A72" w:rsidRDefault="00776CAD" w:rsidP="0042058C">
      <w:pPr>
        <w:pStyle w:val="aff4"/>
      </w:pPr>
      <w:r w:rsidRPr="00901A72">
        <w:rPr>
          <w:rStyle w:val="aff7"/>
        </w:rPr>
        <w:footnoteRef/>
      </w:r>
      <w:r w:rsidRPr="00901A72">
        <w:t xml:space="preserve"> </w:t>
      </w:r>
      <w:r w:rsidRPr="00901A72">
        <w:rPr>
          <w:bCs/>
        </w:rPr>
        <w:t>СП 59.13330.2016 Доступность зданий и сооружений для маломобильных групп населения. Актуализированная редакция СНиП 35-01-2001.</w:t>
      </w:r>
    </w:p>
  </w:footnote>
  <w:footnote w:id="93">
    <w:p w:rsidR="00776CAD" w:rsidRPr="00901A72" w:rsidRDefault="00776CAD" w:rsidP="0042058C">
      <w:pPr>
        <w:pStyle w:val="aff4"/>
      </w:pPr>
      <w:r w:rsidRPr="00901A72">
        <w:rPr>
          <w:rStyle w:val="aff7"/>
        </w:rPr>
        <w:footnoteRef/>
      </w:r>
      <w:r w:rsidRPr="00901A72">
        <w:t xml:space="preserve"> СП 42.13330.2016. Градостроительство. Планировка и застройка городских и сельских поселений. Актуализированная редакция СНиП 2.07.01-89*.</w:t>
      </w:r>
    </w:p>
  </w:footnote>
  <w:footnote w:id="94">
    <w:p w:rsidR="00776CAD" w:rsidRPr="00901A72" w:rsidRDefault="00776CAD" w:rsidP="0042058C">
      <w:pPr>
        <w:pStyle w:val="aff4"/>
      </w:pPr>
      <w:r w:rsidRPr="00901A72">
        <w:rPr>
          <w:rStyle w:val="aff7"/>
        </w:rPr>
        <w:footnoteRef/>
      </w:r>
      <w:r w:rsidRPr="00901A72">
        <w:t xml:space="preserve"> </w:t>
      </w:r>
      <w:r w:rsidRPr="00901A72">
        <w:rPr>
          <w:bCs/>
        </w:rPr>
        <w:t>СП 59.13330.2020 Доступность зданий и сооружений для маломобильных групп населения. Актуализированная редакция СНиП 35-01-2001.</w:t>
      </w:r>
    </w:p>
  </w:footnote>
  <w:footnote w:id="95">
    <w:p w:rsidR="00776CAD" w:rsidRPr="00901A72" w:rsidRDefault="00776CAD" w:rsidP="0042058C">
      <w:pPr>
        <w:pStyle w:val="aff4"/>
      </w:pPr>
      <w:r w:rsidRPr="00901A72">
        <w:rPr>
          <w:rStyle w:val="aff7"/>
        </w:rPr>
        <w:footnoteRef/>
      </w:r>
      <w:r w:rsidRPr="00901A72">
        <w:t xml:space="preserve"> </w:t>
      </w:r>
      <w:r w:rsidRPr="00901A72">
        <w:rPr>
          <w:bCs/>
        </w:rPr>
        <w:t>СП 59.13330.2020 Доступность зданий и сооружений для маломобильных групп населения. Актуализированная редакция СНиП 35-01-2001.</w:t>
      </w:r>
    </w:p>
  </w:footnote>
  <w:footnote w:id="96">
    <w:p w:rsidR="00776CAD" w:rsidRPr="00AF58BE" w:rsidRDefault="00776CAD" w:rsidP="0042058C">
      <w:pPr>
        <w:pStyle w:val="aff4"/>
      </w:pPr>
      <w:r w:rsidRPr="00AF58BE">
        <w:rPr>
          <w:rStyle w:val="aff7"/>
        </w:rPr>
        <w:footnoteRef/>
      </w:r>
      <w:r w:rsidRPr="00AF58BE">
        <w:t xml:space="preserve"> П. 5.18 СП 8.13130.2020 «Системы противопожарной защиты. Наружное противопожарное водоснабжение. Требования пожарной безопасности».</w:t>
      </w:r>
    </w:p>
  </w:footnote>
  <w:footnote w:id="97">
    <w:p w:rsidR="00776CAD" w:rsidRPr="00244D2C" w:rsidRDefault="00776CAD" w:rsidP="0042058C">
      <w:pPr>
        <w:pStyle w:val="aff4"/>
      </w:pPr>
      <w:r w:rsidRPr="00244D2C">
        <w:rPr>
          <w:rStyle w:val="aff7"/>
        </w:rPr>
        <w:footnoteRef/>
      </w:r>
      <w:r w:rsidRPr="00244D2C">
        <w:t xml:space="preserve"> Приложение к Правилам определения границ зон затопления, подтопления, утвержденным </w:t>
      </w:r>
      <w:r w:rsidRPr="00244D2C">
        <w:rPr>
          <w:bCs/>
        </w:rPr>
        <w:t>Постановлением Правительства Российской Федерации от 18 апреля 2014 года № 360 «Об определении границ зон затопления, подтопления».</w:t>
      </w:r>
    </w:p>
  </w:footnote>
  <w:footnote w:id="98">
    <w:p w:rsidR="00776CAD" w:rsidRDefault="00776CAD" w:rsidP="0042058C">
      <w:pPr>
        <w:pStyle w:val="aff4"/>
      </w:pPr>
      <w:r>
        <w:rPr>
          <w:rStyle w:val="aff7"/>
        </w:rPr>
        <w:footnoteRef/>
      </w:r>
      <w:r>
        <w:t xml:space="preserve"> </w:t>
      </w:r>
      <w:r w:rsidRPr="00C94582">
        <w:t>СП 82.13330.2016 Благоустройство территорий. Актуализированная редакция СНиП III-10-75</w:t>
      </w:r>
    </w:p>
  </w:footnote>
  <w:footnote w:id="99">
    <w:p w:rsidR="00776CAD" w:rsidRPr="009A6C79" w:rsidRDefault="00776CAD" w:rsidP="0042058C">
      <w:pPr>
        <w:pStyle w:val="aff4"/>
        <w:rPr>
          <w:rFonts w:ascii="Arial" w:hAnsi="Arial" w:cs="Arial"/>
        </w:rPr>
      </w:pPr>
      <w:r w:rsidRPr="009A6C79">
        <w:rPr>
          <w:rStyle w:val="aff7"/>
          <w:rFonts w:ascii="Arial" w:hAnsi="Arial" w:cs="Arial"/>
        </w:rPr>
        <w:footnoteRef/>
      </w:r>
      <w:r w:rsidRPr="009A6C79">
        <w:rPr>
          <w:rFonts w:ascii="Arial" w:hAnsi="Arial" w:cs="Arial"/>
        </w:rPr>
        <w:t xml:space="preserve"> Территориальная схема обращения с отходами в Ставропольском крае, 2021 г.</w:t>
      </w:r>
    </w:p>
  </w:footnote>
  <w:footnote w:id="100">
    <w:p w:rsidR="00776CAD" w:rsidRDefault="00776CAD" w:rsidP="0042058C">
      <w:pPr>
        <w:pStyle w:val="aff4"/>
      </w:pPr>
      <w:r>
        <w:rPr>
          <w:rStyle w:val="aff7"/>
        </w:rPr>
        <w:footnoteRef/>
      </w:r>
      <w:r>
        <w:t xml:space="preserve"> </w:t>
      </w:r>
      <w:r w:rsidRPr="00BF188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footnote>
  <w:footnote w:id="101">
    <w:p w:rsidR="00776CAD" w:rsidRDefault="00776CAD" w:rsidP="0042058C">
      <w:pPr>
        <w:pStyle w:val="aff4"/>
      </w:pPr>
      <w:r>
        <w:rPr>
          <w:rStyle w:val="aff7"/>
        </w:rPr>
        <w:footnoteRef/>
      </w:r>
      <w:r>
        <w:t xml:space="preserve"> </w:t>
      </w:r>
      <w:r w:rsidRPr="009362BF">
        <w:t>Паспорт безопасности Труновского муниципального округа Ставропольского края</w:t>
      </w:r>
    </w:p>
  </w:footnote>
  <w:footnote w:id="102">
    <w:p w:rsidR="00776CAD" w:rsidRDefault="00776CAD" w:rsidP="0042058C">
      <w:pPr>
        <w:pStyle w:val="aff4"/>
      </w:pPr>
      <w:r>
        <w:rPr>
          <w:rStyle w:val="aff7"/>
        </w:rPr>
        <w:footnoteRef/>
      </w:r>
      <w:r>
        <w:t xml:space="preserve"> </w:t>
      </w:r>
      <w:r w:rsidRPr="006B0C8D">
        <w:t>Паспорт безопасности Труновского муниципального округа Ставропольского края</w:t>
      </w:r>
    </w:p>
  </w:footnote>
  <w:footnote w:id="103">
    <w:p w:rsidR="00776CAD" w:rsidRPr="00216CA7" w:rsidRDefault="00776CAD" w:rsidP="0042058C">
      <w:pPr>
        <w:pStyle w:val="aff4"/>
      </w:pPr>
      <w:r w:rsidRPr="00216CA7">
        <w:rPr>
          <w:rStyle w:val="aff7"/>
        </w:rPr>
        <w:footnoteRef/>
      </w:r>
      <w:r w:rsidRPr="00216CA7">
        <w:t xml:space="preserve"> Паспорт безопасности Труновского муниципального округа Ставропольского края</w:t>
      </w:r>
    </w:p>
  </w:footnote>
  <w:footnote w:id="104">
    <w:p w:rsidR="00776CAD" w:rsidRDefault="00776CAD" w:rsidP="0042058C">
      <w:pPr>
        <w:pStyle w:val="aff4"/>
      </w:pPr>
      <w:r>
        <w:rPr>
          <w:rStyle w:val="aff7"/>
        </w:rPr>
        <w:footnoteRef/>
      </w:r>
      <w:r>
        <w:t xml:space="preserve"> </w:t>
      </w:r>
      <w:r w:rsidRPr="009B6FAC">
        <w:t>Генеральная схемы очистки территорий населенных пунктов Труновского муниципального округа Ставропольского края (утверждена постановлением администрации 20.08.2021 г. №799 п)</w:t>
      </w:r>
    </w:p>
  </w:footnote>
  <w:footnote w:id="105">
    <w:p w:rsidR="00776CAD" w:rsidRDefault="00776CAD" w:rsidP="0042058C">
      <w:pPr>
        <w:pStyle w:val="aff4"/>
      </w:pPr>
      <w:r>
        <w:rPr>
          <w:rStyle w:val="aff7"/>
        </w:rPr>
        <w:footnoteRef/>
      </w:r>
      <w:r>
        <w:t xml:space="preserve"> </w:t>
      </w:r>
      <w:r w:rsidRPr="005820DD">
        <w:t>Источник: Министерство экономического развития Ставропольского края. Государственные программы Ставропольского края. – [Электронный ресурс]: http://stavinvest.ru/work/sub19/sub93/the-state-program-in-stavropol-region-in-the-years-2019-2024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170636"/>
      <w:docPartObj>
        <w:docPartGallery w:val="Page Numbers (Top of Page)"/>
        <w:docPartUnique/>
      </w:docPartObj>
    </w:sdtPr>
    <w:sdtContent>
      <w:p w:rsidR="00776CAD" w:rsidRDefault="00776CAD">
        <w:pPr>
          <w:pStyle w:val="aff1"/>
          <w:jc w:val="center"/>
        </w:pPr>
        <w:r>
          <w:fldChar w:fldCharType="begin"/>
        </w:r>
        <w:r>
          <w:instrText>PAGE   \* MERGEFORMAT</w:instrText>
        </w:r>
        <w:r>
          <w:fldChar w:fldCharType="separate"/>
        </w:r>
        <w:r w:rsidR="00D207BE">
          <w:rPr>
            <w:noProof/>
          </w:rPr>
          <w:t>308</w:t>
        </w:r>
        <w:r>
          <w:fldChar w:fldCharType="end"/>
        </w:r>
      </w:p>
    </w:sdtContent>
  </w:sdt>
  <w:p w:rsidR="00776CAD" w:rsidRDefault="00776CAD">
    <w:pPr>
      <w:pStyle w:val="a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CAD" w:rsidRDefault="00776CAD">
    <w:pPr>
      <w:pStyle w:val="aff1"/>
      <w:jc w:val="center"/>
    </w:pPr>
  </w:p>
  <w:p w:rsidR="00776CAD" w:rsidRDefault="00776CAD">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92A31F0"/>
    <w:lvl w:ilvl="0">
      <w:start w:val="1"/>
      <w:numFmt w:val="bullet"/>
      <w:pStyle w:val="3"/>
      <w:lvlText w:val=""/>
      <w:lvlJc w:val="left"/>
      <w:pPr>
        <w:tabs>
          <w:tab w:val="num" w:pos="566"/>
        </w:tabs>
        <w:ind w:left="566" w:hanging="360"/>
      </w:pPr>
      <w:rPr>
        <w:rFonts w:ascii="Symbol" w:hAnsi="Symbol" w:hint="default"/>
      </w:rPr>
    </w:lvl>
  </w:abstractNum>
  <w:abstractNum w:abstractNumId="1" w15:restartNumberingAfterBreak="0">
    <w:nsid w:val="FFFFFF83"/>
    <w:multiLevelType w:val="singleLevel"/>
    <w:tmpl w:val="6472FC2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14902B8"/>
    <w:multiLevelType w:val="hybridMultilevel"/>
    <w:tmpl w:val="E4D68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4" w15:restartNumberingAfterBreak="0">
    <w:nsid w:val="06B21971"/>
    <w:multiLevelType w:val="hybridMultilevel"/>
    <w:tmpl w:val="46F0D89E"/>
    <w:lvl w:ilvl="0" w:tplc="F618B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7EE66AB"/>
    <w:multiLevelType w:val="hybridMultilevel"/>
    <w:tmpl w:val="D624CBA6"/>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2"/>
      <w:numFmt w:val="decimal"/>
      <w:isLgl/>
      <w:suff w:val="space"/>
      <w:lvlText w:val="%1.%2"/>
      <w:lvlJc w:val="left"/>
      <w:pPr>
        <w:ind w:left="-567" w:firstLine="567"/>
      </w:pPr>
      <w:rPr>
        <w:rFonts w:hint="default"/>
      </w:rPr>
    </w:lvl>
    <w:lvl w:ilvl="2">
      <w:start w:val="1"/>
      <w:numFmt w:val="decimal"/>
      <w:isLgl/>
      <w:suff w:val="space"/>
      <w:lvlText w:val="%1.%2.%3"/>
      <w:lvlJc w:val="left"/>
      <w:pPr>
        <w:ind w:left="-567"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B9E4B56"/>
    <w:multiLevelType w:val="multilevel"/>
    <w:tmpl w:val="EB56FB9A"/>
    <w:lvl w:ilvl="0">
      <w:start w:val="1"/>
      <w:numFmt w:val="decimal"/>
      <w:pStyle w:val="2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BE61D9F"/>
    <w:multiLevelType w:val="hybridMultilevel"/>
    <w:tmpl w:val="974EF9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FF26E55"/>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0926DC7"/>
    <w:multiLevelType w:val="hybridMultilevel"/>
    <w:tmpl w:val="623AB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1FF07E7"/>
    <w:multiLevelType w:val="hybridMultilevel"/>
    <w:tmpl w:val="8252155C"/>
    <w:lvl w:ilvl="0" w:tplc="891A33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2FE3BC7"/>
    <w:multiLevelType w:val="hybridMultilevel"/>
    <w:tmpl w:val="18E8F3E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7FC5C1F"/>
    <w:multiLevelType w:val="hybridMultilevel"/>
    <w:tmpl w:val="6436C0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1A7A7F90"/>
    <w:multiLevelType w:val="multilevel"/>
    <w:tmpl w:val="D5C234C0"/>
    <w:lvl w:ilvl="0">
      <w:start w:val="1"/>
      <w:numFmt w:val="decimal"/>
      <w:lvlText w:val="%1."/>
      <w:lvlJc w:val="left"/>
      <w:pPr>
        <w:ind w:left="360" w:hanging="360"/>
      </w:pPr>
    </w:lvl>
    <w:lvl w:ilvl="1">
      <w:start w:val="7"/>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1D5102C"/>
    <w:multiLevelType w:val="multilevel"/>
    <w:tmpl w:val="D5C234C0"/>
    <w:lvl w:ilvl="0">
      <w:start w:val="1"/>
      <w:numFmt w:val="decimal"/>
      <w:lvlText w:val="%1."/>
      <w:lvlJc w:val="left"/>
      <w:pPr>
        <w:ind w:left="360" w:hanging="360"/>
      </w:pPr>
    </w:lvl>
    <w:lvl w:ilvl="1">
      <w:start w:val="7"/>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21E931AD"/>
    <w:multiLevelType w:val="hybridMultilevel"/>
    <w:tmpl w:val="FDF2DFF2"/>
    <w:lvl w:ilvl="0" w:tplc="04190011">
      <w:start w:val="1"/>
      <w:numFmt w:val="decimal"/>
      <w:lvlText w:val="%1)"/>
      <w:lvlJc w:val="left"/>
      <w:pPr>
        <w:ind w:left="731" w:hanging="360"/>
      </w:pPr>
      <w:rPr>
        <w:rFonts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21" w15:restartNumberingAfterBreak="0">
    <w:nsid w:val="22584E36"/>
    <w:multiLevelType w:val="multilevel"/>
    <w:tmpl w:val="54A6FD0A"/>
    <w:styleLink w:val="21"/>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249473B4"/>
    <w:multiLevelType w:val="multilevel"/>
    <w:tmpl w:val="341A3E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29A30D0D"/>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B7D1F83"/>
    <w:multiLevelType w:val="hybridMultilevel"/>
    <w:tmpl w:val="44ACC822"/>
    <w:lvl w:ilvl="0" w:tplc="58808D1C">
      <w:start w:val="1"/>
      <w:numFmt w:val="bullet"/>
      <w:pStyle w:val="10"/>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6" w15:restartNumberingAfterBreak="0">
    <w:nsid w:val="2BF62B7B"/>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2E3F68CD"/>
    <w:multiLevelType w:val="hybridMultilevel"/>
    <w:tmpl w:val="47084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42242F"/>
    <w:multiLevelType w:val="hybridMultilevel"/>
    <w:tmpl w:val="8B32661C"/>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15:restartNumberingAfterBreak="0">
    <w:nsid w:val="37905F38"/>
    <w:multiLevelType w:val="hybridMultilevel"/>
    <w:tmpl w:val="BBBA85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512889"/>
    <w:multiLevelType w:val="hybridMultilevel"/>
    <w:tmpl w:val="B6DC936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9E24BCB"/>
    <w:multiLevelType w:val="hybridMultilevel"/>
    <w:tmpl w:val="E2E0548C"/>
    <w:lvl w:ilvl="0" w:tplc="0DCCC886">
      <w:start w:val="1"/>
      <w:numFmt w:val="decimal"/>
      <w:lvlText w:val="%1)"/>
      <w:lvlJc w:val="left"/>
      <w:pPr>
        <w:ind w:left="720" w:hanging="360"/>
      </w:pPr>
      <w:rPr>
        <w:rFonts w:ascii="Times New Roman" w:eastAsia="Calibri"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CB1249B"/>
    <w:multiLevelType w:val="hybridMultilevel"/>
    <w:tmpl w:val="D7E88A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722B2E"/>
    <w:multiLevelType w:val="hybridMultilevel"/>
    <w:tmpl w:val="797AACB0"/>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37" w15:restartNumberingAfterBreak="0">
    <w:nsid w:val="42A90B10"/>
    <w:multiLevelType w:val="hybridMultilevel"/>
    <w:tmpl w:val="3B1AE28E"/>
    <w:lvl w:ilvl="0" w:tplc="FC9EC632">
      <w:start w:val="1"/>
      <w:numFmt w:val="decimal"/>
      <w:lvlText w:val="%1)"/>
      <w:lvlJc w:val="left"/>
      <w:pPr>
        <w:ind w:left="1352" w:hanging="360"/>
      </w:pPr>
      <w:rPr>
        <w:rFonts w:ascii="Times New Roman" w:eastAsia="Calibri" w:hAnsi="Times New Roman" w:cs="Times New Roman"/>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4428006C"/>
    <w:multiLevelType w:val="hybridMultilevel"/>
    <w:tmpl w:val="356A9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F64106"/>
    <w:multiLevelType w:val="hybridMultilevel"/>
    <w:tmpl w:val="EABCC6D0"/>
    <w:lvl w:ilvl="0" w:tplc="B912743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49643F15"/>
    <w:multiLevelType w:val="hybridMultilevel"/>
    <w:tmpl w:val="B09A8C2E"/>
    <w:styleLink w:val="1ai2"/>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A2F353E"/>
    <w:multiLevelType w:val="multilevel"/>
    <w:tmpl w:val="0419001D"/>
    <w:styleLink w:val="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AD92B3B"/>
    <w:multiLevelType w:val="hybridMultilevel"/>
    <w:tmpl w:val="3FA05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AE922DC"/>
    <w:multiLevelType w:val="hybridMultilevel"/>
    <w:tmpl w:val="59EE7796"/>
    <w:lvl w:ilvl="0" w:tplc="60D2B0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BDF68B4"/>
    <w:multiLevelType w:val="multilevel"/>
    <w:tmpl w:val="6FDA6744"/>
    <w:styleLink w:val="1ai1"/>
    <w:lvl w:ilvl="0">
      <w:start w:val="1"/>
      <w:numFmt w:val="decimal"/>
      <w:pStyle w:val="a3"/>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5" w15:restartNumberingAfterBreak="0">
    <w:nsid w:val="4C7C78CD"/>
    <w:multiLevelType w:val="hybridMultilevel"/>
    <w:tmpl w:val="EAC89600"/>
    <w:lvl w:ilvl="0" w:tplc="E334C514">
      <w:start w:val="1"/>
      <w:numFmt w:val="decimal"/>
      <w:lvlText w:val="%1)"/>
      <w:lvlJc w:val="left"/>
      <w:pPr>
        <w:ind w:left="360" w:hanging="360"/>
      </w:pPr>
      <w:rPr>
        <w:rFonts w:ascii="Times New Roman" w:eastAsia="Calibri"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F886C46"/>
    <w:multiLevelType w:val="hybridMultilevel"/>
    <w:tmpl w:val="481000CE"/>
    <w:lvl w:ilvl="0" w:tplc="2A6A85F4">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7" w15:restartNumberingAfterBreak="0">
    <w:nsid w:val="4FCB6C83"/>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54087E9D"/>
    <w:multiLevelType w:val="multilevel"/>
    <w:tmpl w:val="7AF46C1A"/>
    <w:styleLink w:val="12"/>
    <w:lvl w:ilvl="0">
      <w:start w:val="1"/>
      <w:numFmt w:val="decimal"/>
      <w:lvlText w:val="%1."/>
      <w:lvlJc w:val="left"/>
      <w:pPr>
        <w:ind w:left="420" w:hanging="420"/>
      </w:pPr>
      <w:rPr>
        <w:rFonts w:hint="default"/>
      </w:rPr>
    </w:lvl>
    <w:lvl w:ilvl="1">
      <w:start w:val="5"/>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15:restartNumberingAfterBreak="0">
    <w:nsid w:val="5517157F"/>
    <w:multiLevelType w:val="hybridMultilevel"/>
    <w:tmpl w:val="9DFE88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60D7C9E"/>
    <w:multiLevelType w:val="hybridMultilevel"/>
    <w:tmpl w:val="250E015A"/>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DD132F"/>
    <w:multiLevelType w:val="hybridMultilevel"/>
    <w:tmpl w:val="5638302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7B45EF3"/>
    <w:multiLevelType w:val="multilevel"/>
    <w:tmpl w:val="C3E0088E"/>
    <w:lvl w:ilvl="0">
      <w:start w:val="1"/>
      <w:numFmt w:val="decimal"/>
      <w:lvlText w:val="%1."/>
      <w:lvlJc w:val="left"/>
      <w:pPr>
        <w:ind w:left="360" w:hanging="360"/>
      </w:pPr>
      <w:rPr>
        <w:b w:val="0"/>
      </w:rPr>
    </w:lvl>
    <w:lvl w:ilvl="1">
      <w:start w:val="1"/>
      <w:numFmt w:val="decimal"/>
      <w:lvlText w:val="%1.%2."/>
      <w:lvlJc w:val="left"/>
      <w:pPr>
        <w:ind w:left="4685" w:hanging="432"/>
      </w:pPr>
      <w:rPr>
        <w:b/>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93D34AC"/>
    <w:multiLevelType w:val="hybridMultilevel"/>
    <w:tmpl w:val="E6CA8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A276587"/>
    <w:multiLevelType w:val="multilevel"/>
    <w:tmpl w:val="592689F6"/>
    <w:lvl w:ilvl="0">
      <w:start w:val="1"/>
      <w:numFmt w:val="decimal"/>
      <w:lvlText w:val="%1."/>
      <w:lvlJc w:val="left"/>
      <w:pPr>
        <w:tabs>
          <w:tab w:val="num" w:pos="928"/>
        </w:tabs>
        <w:ind w:left="928" w:hanging="360"/>
      </w:pPr>
      <w:rPr>
        <w:rFonts w:hint="default"/>
      </w:rPr>
    </w:lvl>
    <w:lvl w:ilvl="1">
      <w:start w:val="1"/>
      <w:numFmt w:val="decimal"/>
      <w:pStyle w:val="110"/>
      <w:lvlText w:val="%1.%2."/>
      <w:lvlJc w:val="left"/>
      <w:pPr>
        <w:tabs>
          <w:tab w:val="num" w:pos="1288"/>
        </w:tabs>
        <w:ind w:left="1288" w:hanging="720"/>
      </w:pPr>
      <w:rPr>
        <w:rFonts w:hint="default"/>
        <w:b/>
        <w:color w:val="auto"/>
      </w:rPr>
    </w:lvl>
    <w:lvl w:ilvl="2">
      <w:start w:val="1"/>
      <w:numFmt w:val="decimal"/>
      <w:lvlText w:val="%1.%2.%3."/>
      <w:lvlJc w:val="left"/>
      <w:pPr>
        <w:tabs>
          <w:tab w:val="num" w:pos="5540"/>
        </w:tabs>
        <w:ind w:left="5540" w:hanging="720"/>
      </w:pPr>
      <w:rPr>
        <w:rFonts w:hint="default"/>
      </w:rPr>
    </w:lvl>
    <w:lvl w:ilvl="3">
      <w:start w:val="1"/>
      <w:numFmt w:val="decimal"/>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5" w15:restartNumberingAfterBreak="0">
    <w:nsid w:val="5D984B82"/>
    <w:multiLevelType w:val="hybridMultilevel"/>
    <w:tmpl w:val="D38C5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F842765"/>
    <w:multiLevelType w:val="hybridMultilevel"/>
    <w:tmpl w:val="9022F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043218"/>
    <w:multiLevelType w:val="hybridMultilevel"/>
    <w:tmpl w:val="02FCE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1E978CE"/>
    <w:multiLevelType w:val="hybridMultilevel"/>
    <w:tmpl w:val="D71016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2E36A5C"/>
    <w:multiLevelType w:val="multilevel"/>
    <w:tmpl w:val="19CE4B70"/>
    <w:lvl w:ilvl="0">
      <w:start w:val="1"/>
      <w:numFmt w:val="decimal"/>
      <w:lvlText w:val="%1."/>
      <w:lvlJc w:val="left"/>
      <w:pPr>
        <w:ind w:left="360" w:hanging="360"/>
      </w:pPr>
      <w:rPr>
        <w:b w:val="0"/>
      </w:rPr>
    </w:lvl>
    <w:lvl w:ilvl="1">
      <w:start w:val="7"/>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15:restartNumberingAfterBreak="0">
    <w:nsid w:val="63685447"/>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63685A12"/>
    <w:multiLevelType w:val="multilevel"/>
    <w:tmpl w:val="30267690"/>
    <w:styleLink w:val="2010"/>
    <w:lvl w:ilvl="0">
      <w:start w:val="1"/>
      <w:numFmt w:val="decimal"/>
      <w:pStyle w:val="13"/>
      <w:lvlText w:val="%1."/>
      <w:lvlJc w:val="left"/>
      <w:pPr>
        <w:ind w:left="360" w:hanging="360"/>
      </w:pPr>
    </w:lvl>
    <w:lvl w:ilvl="1">
      <w:start w:val="1"/>
      <w:numFmt w:val="decimal"/>
      <w:pStyle w:val="22"/>
      <w:lvlText w:val="%1.%2."/>
      <w:lvlJc w:val="left"/>
      <w:pPr>
        <w:ind w:left="792" w:hanging="432"/>
      </w:pPr>
    </w:lvl>
    <w:lvl w:ilvl="2">
      <w:start w:val="1"/>
      <w:numFmt w:val="decimal"/>
      <w:pStyle w:val="31"/>
      <w:lvlText w:val="%1.%2.%3."/>
      <w:lvlJc w:val="left"/>
      <w:pPr>
        <w:ind w:left="1072"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62" w15:restartNumberingAfterBreak="0">
    <w:nsid w:val="636D237D"/>
    <w:multiLevelType w:val="multilevel"/>
    <w:tmpl w:val="7A800C7E"/>
    <w:styleLink w:val="1ai11"/>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15:restartNumberingAfterBreak="0">
    <w:nsid w:val="63E05B24"/>
    <w:multiLevelType w:val="multilevel"/>
    <w:tmpl w:val="F0A81260"/>
    <w:numStyleLink w:val="a"/>
  </w:abstractNum>
  <w:abstractNum w:abstractNumId="64" w15:restartNumberingAfterBreak="0">
    <w:nsid w:val="65035E74"/>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65AD577F"/>
    <w:multiLevelType w:val="hybridMultilevel"/>
    <w:tmpl w:val="E6F4D696"/>
    <w:lvl w:ilvl="0" w:tplc="5BCE7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63303A3"/>
    <w:multiLevelType w:val="hybridMultilevel"/>
    <w:tmpl w:val="8696C8FE"/>
    <w:lvl w:ilvl="0" w:tplc="65B8A7D0">
      <w:start w:val="1"/>
      <w:numFmt w:val="bullet"/>
      <w:pStyle w:val="a4"/>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15:restartNumberingAfterBreak="0">
    <w:nsid w:val="6B031E5A"/>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6B1B3507"/>
    <w:multiLevelType w:val="hybridMultilevel"/>
    <w:tmpl w:val="11CE71FC"/>
    <w:styleLink w:val="23"/>
    <w:lvl w:ilvl="0" w:tplc="FFFFFFFF">
      <w:start w:val="1"/>
      <w:numFmt w:val="decimal"/>
      <w:pStyle w:val="14"/>
      <w:lvlText w:val="Таблица %1 "/>
      <w:lvlJc w:val="right"/>
      <w:pPr>
        <w:tabs>
          <w:tab w:val="num" w:pos="1429"/>
        </w:tabs>
        <w:ind w:left="1429" w:firstLine="79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6B2943DC"/>
    <w:multiLevelType w:val="hybridMultilevel"/>
    <w:tmpl w:val="EABCC6D0"/>
    <w:lvl w:ilvl="0" w:tplc="B912743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6FD64421"/>
    <w:multiLevelType w:val="hybridMultilevel"/>
    <w:tmpl w:val="42E83D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2" w15:restartNumberingAfterBreak="0">
    <w:nsid w:val="77C64434"/>
    <w:multiLevelType w:val="hybridMultilevel"/>
    <w:tmpl w:val="905A57E0"/>
    <w:lvl w:ilvl="0" w:tplc="EC40D1BE">
      <w:start w:val="1"/>
      <w:numFmt w:val="bullet"/>
      <w:pStyle w:val="a6"/>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77E301F8"/>
    <w:multiLevelType w:val="hybridMultilevel"/>
    <w:tmpl w:val="7D1ACA2C"/>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FCA41D8"/>
    <w:multiLevelType w:val="hybridMultilevel"/>
    <w:tmpl w:val="E88E32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66"/>
  </w:num>
  <w:num w:numId="3">
    <w:abstractNumId w:val="19"/>
  </w:num>
  <w:num w:numId="4">
    <w:abstractNumId w:val="39"/>
  </w:num>
  <w:num w:numId="5">
    <w:abstractNumId w:val="17"/>
  </w:num>
  <w:num w:numId="6">
    <w:abstractNumId w:val="59"/>
  </w:num>
  <w:num w:numId="7">
    <w:abstractNumId w:val="24"/>
  </w:num>
  <w:num w:numId="8">
    <w:abstractNumId w:val="60"/>
  </w:num>
  <w:num w:numId="9">
    <w:abstractNumId w:val="47"/>
  </w:num>
  <w:num w:numId="10">
    <w:abstractNumId w:val="70"/>
  </w:num>
  <w:num w:numId="11">
    <w:abstractNumId w:val="67"/>
  </w:num>
  <w:num w:numId="12">
    <w:abstractNumId w:val="10"/>
  </w:num>
  <w:num w:numId="13">
    <w:abstractNumId w:val="64"/>
  </w:num>
  <w:num w:numId="14">
    <w:abstractNumId w:val="26"/>
  </w:num>
  <w:num w:numId="15">
    <w:abstractNumId w:val="8"/>
  </w:num>
  <w:num w:numId="16">
    <w:abstractNumId w:val="69"/>
  </w:num>
  <w:num w:numId="17">
    <w:abstractNumId w:val="37"/>
  </w:num>
  <w:num w:numId="18">
    <w:abstractNumId w:val="32"/>
  </w:num>
  <w:num w:numId="19">
    <w:abstractNumId w:val="45"/>
  </w:num>
  <w:num w:numId="20">
    <w:abstractNumId w:val="31"/>
  </w:num>
  <w:num w:numId="21">
    <w:abstractNumId w:val="43"/>
  </w:num>
  <w:num w:numId="22">
    <w:abstractNumId w:val="34"/>
  </w:num>
  <w:num w:numId="23">
    <w:abstractNumId w:val="15"/>
  </w:num>
  <w:num w:numId="24">
    <w:abstractNumId w:val="46"/>
  </w:num>
  <w:num w:numId="25">
    <w:abstractNumId w:val="56"/>
  </w:num>
  <w:num w:numId="26">
    <w:abstractNumId w:val="58"/>
  </w:num>
  <w:num w:numId="27">
    <w:abstractNumId w:val="49"/>
  </w:num>
  <w:num w:numId="28">
    <w:abstractNumId w:val="38"/>
  </w:num>
  <w:num w:numId="29">
    <w:abstractNumId w:val="74"/>
  </w:num>
  <w:num w:numId="30">
    <w:abstractNumId w:val="30"/>
  </w:num>
  <w:num w:numId="31">
    <w:abstractNumId w:val="4"/>
  </w:num>
  <w:num w:numId="32">
    <w:abstractNumId w:val="20"/>
  </w:num>
  <w:num w:numId="33">
    <w:abstractNumId w:val="73"/>
  </w:num>
  <w:num w:numId="34">
    <w:abstractNumId w:val="33"/>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0"/>
  </w:num>
  <w:num w:numId="38">
    <w:abstractNumId w:val="1"/>
  </w:num>
  <w:num w:numId="39">
    <w:abstractNumId w:val="54"/>
  </w:num>
  <w:num w:numId="40">
    <w:abstractNumId w:val="48"/>
  </w:num>
  <w:num w:numId="41">
    <w:abstractNumId w:val="21"/>
  </w:num>
  <w:num w:numId="42">
    <w:abstractNumId w:val="72"/>
  </w:num>
  <w:num w:numId="43">
    <w:abstractNumId w:val="18"/>
  </w:num>
  <w:num w:numId="44">
    <w:abstractNumId w:val="7"/>
  </w:num>
  <w:num w:numId="45">
    <w:abstractNumId w:val="53"/>
  </w:num>
  <w:num w:numId="46">
    <w:abstractNumId w:val="9"/>
  </w:num>
  <w:num w:numId="47">
    <w:abstractNumId w:val="63"/>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51"/>
  </w:num>
  <w:num w:numId="51">
    <w:abstractNumId w:val="50"/>
  </w:num>
  <w:num w:numId="52">
    <w:abstractNumId w:val="35"/>
  </w:num>
  <w:num w:numId="53">
    <w:abstractNumId w:val="42"/>
  </w:num>
  <w:num w:numId="54">
    <w:abstractNumId w:val="28"/>
  </w:num>
  <w:num w:numId="55">
    <w:abstractNumId w:val="27"/>
  </w:num>
  <w:num w:numId="56">
    <w:abstractNumId w:val="2"/>
  </w:num>
  <w:num w:numId="57">
    <w:abstractNumId w:val="55"/>
  </w:num>
  <w:num w:numId="58">
    <w:abstractNumId w:val="5"/>
  </w:num>
  <w:num w:numId="59">
    <w:abstractNumId w:val="16"/>
  </w:num>
  <w:num w:numId="60">
    <w:abstractNumId w:val="71"/>
  </w:num>
  <w:num w:numId="61">
    <w:abstractNumId w:val="6"/>
  </w:num>
  <w:num w:numId="62">
    <w:abstractNumId w:val="44"/>
  </w:num>
  <w:num w:numId="63">
    <w:abstractNumId w:val="40"/>
  </w:num>
  <w:num w:numId="64">
    <w:abstractNumId w:val="14"/>
  </w:num>
  <w:num w:numId="65">
    <w:abstractNumId w:val="3"/>
  </w:num>
  <w:num w:numId="66">
    <w:abstractNumId w:val="41"/>
  </w:num>
  <w:num w:numId="67">
    <w:abstractNumId w:val="61"/>
  </w:num>
  <w:num w:numId="68">
    <w:abstractNumId w:val="68"/>
  </w:num>
  <w:num w:numId="69">
    <w:abstractNumId w:val="23"/>
  </w:num>
  <w:num w:numId="70">
    <w:abstractNumId w:val="36"/>
  </w:num>
  <w:num w:numId="71">
    <w:abstractNumId w:val="62"/>
  </w:num>
  <w:num w:numId="72">
    <w:abstractNumId w:val="29"/>
  </w:num>
  <w:num w:numId="73">
    <w:abstractNumId w:val="52"/>
  </w:num>
  <w:num w:numId="74">
    <w:abstractNumId w:val="12"/>
  </w:num>
  <w:num w:numId="75">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8C"/>
    <w:rsid w:val="000528C2"/>
    <w:rsid w:val="0009125E"/>
    <w:rsid w:val="000E5508"/>
    <w:rsid w:val="0017486A"/>
    <w:rsid w:val="001A7B4B"/>
    <w:rsid w:val="001C555B"/>
    <w:rsid w:val="00234DE8"/>
    <w:rsid w:val="00251368"/>
    <w:rsid w:val="00265B74"/>
    <w:rsid w:val="0028178A"/>
    <w:rsid w:val="002928A5"/>
    <w:rsid w:val="002A001F"/>
    <w:rsid w:val="002D57F1"/>
    <w:rsid w:val="002E5F93"/>
    <w:rsid w:val="00301758"/>
    <w:rsid w:val="00364576"/>
    <w:rsid w:val="00381753"/>
    <w:rsid w:val="003C50C5"/>
    <w:rsid w:val="003F30A4"/>
    <w:rsid w:val="004030EA"/>
    <w:rsid w:val="0042058C"/>
    <w:rsid w:val="004535D2"/>
    <w:rsid w:val="004830AF"/>
    <w:rsid w:val="005063A1"/>
    <w:rsid w:val="005220F5"/>
    <w:rsid w:val="00524A7A"/>
    <w:rsid w:val="006A1BB6"/>
    <w:rsid w:val="00765EC2"/>
    <w:rsid w:val="007675D5"/>
    <w:rsid w:val="00776CAD"/>
    <w:rsid w:val="00953F17"/>
    <w:rsid w:val="00960221"/>
    <w:rsid w:val="00981D14"/>
    <w:rsid w:val="009C6893"/>
    <w:rsid w:val="009D6A07"/>
    <w:rsid w:val="00A16097"/>
    <w:rsid w:val="00A3755D"/>
    <w:rsid w:val="00A375B8"/>
    <w:rsid w:val="00A61FBD"/>
    <w:rsid w:val="00AC7BDA"/>
    <w:rsid w:val="00B021E3"/>
    <w:rsid w:val="00BA53A8"/>
    <w:rsid w:val="00C11A83"/>
    <w:rsid w:val="00C43664"/>
    <w:rsid w:val="00C952A3"/>
    <w:rsid w:val="00CD70A7"/>
    <w:rsid w:val="00D05B7C"/>
    <w:rsid w:val="00D207BE"/>
    <w:rsid w:val="00D24A46"/>
    <w:rsid w:val="00D766F3"/>
    <w:rsid w:val="00D910A1"/>
    <w:rsid w:val="00DA4D48"/>
    <w:rsid w:val="00E13FE0"/>
    <w:rsid w:val="00E3531F"/>
    <w:rsid w:val="00E4041D"/>
    <w:rsid w:val="00E413C8"/>
    <w:rsid w:val="00E5479A"/>
    <w:rsid w:val="00E86957"/>
    <w:rsid w:val="00EB7800"/>
    <w:rsid w:val="00EF7FE9"/>
    <w:rsid w:val="00F21676"/>
    <w:rsid w:val="00F62636"/>
    <w:rsid w:val="00F95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F6791D-8EDD-4DE8-8038-19F25E59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iPriority="99" w:unhideWhenUsed="1"/>
    <w:lsdException w:name="toa heading" w:semiHidden="1" w:uiPriority="99" w:unhideWhenUsed="1"/>
    <w:lsdException w:name="List" w:semiHidden="1" w:unhideWhenUsed="1" w:qFormat="1"/>
    <w:lsdException w:name="List Bullet" w:semiHidden="1" w:uiPriority="99" w:unhideWhenUsed="1"/>
    <w:lsdException w:name="List Number" w:semiHidden="1" w:uiPriority="99" w:unhideWhenUsed="1"/>
    <w:lsdException w:name="List 2" w:semiHidden="1" w:uiPriority="99" w:unhideWhenUsed="1" w:qFormat="1"/>
    <w:lsdException w:name="List 3" w:semiHidden="1" w:uiPriority="99" w:unhideWhenUsed="1" w:qFormat="1"/>
    <w:lsdException w:name="List 4" w:semiHidden="1" w:uiPriority="99" w:unhideWhenUsed="1"/>
    <w:lsdException w:name="List 5" w:semiHidden="1" w:uiPriority="99"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style>
  <w:style w:type="paragraph" w:styleId="15">
    <w:name w:val="heading 1"/>
    <w:aliases w:val="Заголовок 1 Знак Знак,Заголовок 1 Знак Знак Знак"/>
    <w:basedOn w:val="a7"/>
    <w:next w:val="a7"/>
    <w:link w:val="16"/>
    <w:qFormat/>
    <w:rsid w:val="00420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4">
    <w:name w:val="heading 2"/>
    <w:aliases w:val=" Знак2, Знак2 Знак,Знак2 Знак, Знак2 Знак Знак Знак,Знак2,Знак2 Знак Знак Знак,Знак2 Знак1,ГЛАВА,Заголовок 2 Знак Знак,Заголовок 21,Заголовок 2 Знак Знак Знак Знак,Заголовок 2 Знак Знак Знак Знак Знак Знак Знак Знак Знак"/>
    <w:basedOn w:val="a7"/>
    <w:next w:val="a7"/>
    <w:link w:val="25"/>
    <w:uiPriority w:val="9"/>
    <w:unhideWhenUsed/>
    <w:qFormat/>
    <w:rsid w:val="004205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aliases w:val="Для подписи таблиц и рисунков,Знак3 Знак, Знак3 Знак Знак Знак,Знак3,Знак3 Знак Знак Знак,ПодЗаголовок,Заголовок 31,Знак14,footer,heading 3"/>
    <w:basedOn w:val="a7"/>
    <w:next w:val="a7"/>
    <w:link w:val="32"/>
    <w:qFormat/>
    <w:rsid w:val="0042058C"/>
    <w:pPr>
      <w:keepNext/>
      <w:keepLines/>
      <w:numPr>
        <w:ilvl w:val="2"/>
        <w:numId w:val="1"/>
      </w:numPr>
      <w:spacing w:after="0"/>
      <w:ind w:left="567"/>
      <w:jc w:val="both"/>
      <w:outlineLvl w:val="2"/>
    </w:pPr>
    <w:rPr>
      <w:rFonts w:ascii="Arial" w:eastAsiaTheme="majorEastAsia" w:hAnsi="Arial" w:cstheme="majorBidi"/>
      <w:sz w:val="24"/>
      <w:szCs w:val="24"/>
    </w:rPr>
  </w:style>
  <w:style w:type="paragraph" w:styleId="4">
    <w:name w:val="heading 4"/>
    <w:aliases w:val="ПОДЗАГОЛОВКИ"/>
    <w:basedOn w:val="a7"/>
    <w:next w:val="a7"/>
    <w:link w:val="40"/>
    <w:unhideWhenUsed/>
    <w:qFormat/>
    <w:rsid w:val="0042058C"/>
    <w:pPr>
      <w:keepNext/>
      <w:keepLines/>
      <w:numPr>
        <w:ilvl w:val="3"/>
        <w:numId w:val="67"/>
      </w:numPr>
      <w:spacing w:before="240" w:after="240" w:line="240" w:lineRule="auto"/>
      <w:jc w:val="both"/>
      <w:outlineLvl w:val="3"/>
    </w:pPr>
    <w:rPr>
      <w:rFonts w:ascii="Times New Roman" w:eastAsia="Times New Roman" w:hAnsi="Times New Roman" w:cs="Times New Roman"/>
      <w:b/>
      <w:iCs/>
      <w:sz w:val="28"/>
    </w:rPr>
  </w:style>
  <w:style w:type="paragraph" w:styleId="5">
    <w:name w:val="heading 5"/>
    <w:basedOn w:val="a7"/>
    <w:next w:val="a7"/>
    <w:link w:val="50"/>
    <w:unhideWhenUsed/>
    <w:qFormat/>
    <w:rsid w:val="0042058C"/>
    <w:pPr>
      <w:keepNext/>
      <w:keepLines/>
      <w:numPr>
        <w:ilvl w:val="4"/>
        <w:numId w:val="67"/>
      </w:numPr>
      <w:spacing w:before="240" w:after="240" w:line="240" w:lineRule="auto"/>
      <w:jc w:val="both"/>
      <w:outlineLvl w:val="4"/>
    </w:pPr>
    <w:rPr>
      <w:rFonts w:ascii="Times New Roman" w:eastAsia="Times New Roman" w:hAnsi="Times New Roman" w:cs="Times New Roman"/>
      <w:b/>
      <w:sz w:val="28"/>
    </w:rPr>
  </w:style>
  <w:style w:type="paragraph" w:styleId="6">
    <w:name w:val="heading 6"/>
    <w:basedOn w:val="a7"/>
    <w:next w:val="a7"/>
    <w:link w:val="60"/>
    <w:qFormat/>
    <w:rsid w:val="0042058C"/>
    <w:pPr>
      <w:keepNext/>
      <w:numPr>
        <w:ilvl w:val="5"/>
        <w:numId w:val="67"/>
      </w:numPr>
      <w:spacing w:after="0" w:line="240" w:lineRule="auto"/>
      <w:jc w:val="center"/>
      <w:outlineLvl w:val="5"/>
    </w:pPr>
    <w:rPr>
      <w:rFonts w:ascii="Times New Roman" w:eastAsia="Times New Roman" w:hAnsi="Times New Roman" w:cs="Times New Roman"/>
      <w:b/>
      <w:sz w:val="28"/>
      <w:szCs w:val="24"/>
      <w:lang w:eastAsia="ru-RU"/>
    </w:rPr>
  </w:style>
  <w:style w:type="paragraph" w:styleId="7">
    <w:name w:val="heading 7"/>
    <w:aliases w:val="Заголовок x.x"/>
    <w:basedOn w:val="a7"/>
    <w:next w:val="a7"/>
    <w:link w:val="70"/>
    <w:qFormat/>
    <w:rsid w:val="0042058C"/>
    <w:pPr>
      <w:keepNext/>
      <w:widowControl w:val="0"/>
      <w:numPr>
        <w:ilvl w:val="6"/>
        <w:numId w:val="67"/>
      </w:numPr>
      <w:shd w:val="clear" w:color="auto" w:fill="FFFFFF"/>
      <w:tabs>
        <w:tab w:val="left" w:pos="9522"/>
      </w:tabs>
      <w:spacing w:after="0" w:line="240" w:lineRule="auto"/>
      <w:jc w:val="right"/>
      <w:outlineLvl w:val="6"/>
    </w:pPr>
    <w:rPr>
      <w:rFonts w:ascii="Times New Roman" w:eastAsia="Times New Roman" w:hAnsi="Times New Roman" w:cs="Times New Roman"/>
      <w:sz w:val="24"/>
      <w:szCs w:val="24"/>
      <w:lang w:eastAsia="ru-RU"/>
    </w:rPr>
  </w:style>
  <w:style w:type="paragraph" w:styleId="8">
    <w:name w:val="heading 8"/>
    <w:basedOn w:val="a7"/>
    <w:next w:val="a7"/>
    <w:link w:val="80"/>
    <w:qFormat/>
    <w:rsid w:val="0042058C"/>
    <w:pPr>
      <w:keepNext/>
      <w:numPr>
        <w:ilvl w:val="7"/>
        <w:numId w:val="67"/>
      </w:numPr>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7"/>
    <w:next w:val="a7"/>
    <w:link w:val="90"/>
    <w:qFormat/>
    <w:rsid w:val="0042058C"/>
    <w:pPr>
      <w:keepNext/>
      <w:widowControl w:val="0"/>
      <w:numPr>
        <w:ilvl w:val="8"/>
        <w:numId w:val="67"/>
      </w:numPr>
      <w:spacing w:after="0" w:line="240" w:lineRule="auto"/>
      <w:outlineLvl w:val="8"/>
    </w:pPr>
    <w:rPr>
      <w:rFonts w:ascii="Times New Roman" w:eastAsia="Times New Roman" w:hAnsi="Times New Roman" w:cs="Times New Roman"/>
      <w:sz w:val="24"/>
      <w:szCs w:val="24"/>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Заголовок 1 Знак Знак Знак1,Заголовок 1 Знак Знак Знак Знак"/>
    <w:basedOn w:val="a8"/>
    <w:link w:val="15"/>
    <w:rsid w:val="0042058C"/>
    <w:rPr>
      <w:rFonts w:asciiTheme="majorHAnsi" w:eastAsiaTheme="majorEastAsia" w:hAnsiTheme="majorHAnsi" w:cstheme="majorBidi"/>
      <w:b/>
      <w:bCs/>
      <w:color w:val="365F91" w:themeColor="accent1" w:themeShade="BF"/>
      <w:sz w:val="28"/>
      <w:szCs w:val="28"/>
    </w:rPr>
  </w:style>
  <w:style w:type="character" w:customStyle="1" w:styleId="25">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 Знак Знак,Заголовок 21 Знак,Заголовок 2 Знак Знак Знак Знак Знак"/>
    <w:basedOn w:val="a8"/>
    <w:link w:val="24"/>
    <w:uiPriority w:val="9"/>
    <w:rsid w:val="0042058C"/>
    <w:rPr>
      <w:rFonts w:asciiTheme="majorHAnsi" w:eastAsiaTheme="majorEastAsia" w:hAnsiTheme="majorHAnsi" w:cstheme="majorBidi"/>
      <w:color w:val="365F91" w:themeColor="accent1" w:themeShade="BF"/>
      <w:sz w:val="26"/>
      <w:szCs w:val="26"/>
    </w:rPr>
  </w:style>
  <w:style w:type="character" w:customStyle="1" w:styleId="32">
    <w:name w:val="Заголовок 3 Знак"/>
    <w:aliases w:val="Для подписи таблиц и рисунков Знак,Знак3 Знак Знак, Знак3 Знак Знак Знак Знак,Знак3 Знак1,Знак3 Знак Знак Знак Знак,ПодЗаголовок Знак,Заголовок 31 Знак,Знак14 Знак,footer Знак,heading 3 Знак"/>
    <w:basedOn w:val="a8"/>
    <w:link w:val="30"/>
    <w:rsid w:val="0042058C"/>
    <w:rPr>
      <w:rFonts w:ascii="Arial" w:eastAsiaTheme="majorEastAsia" w:hAnsi="Arial" w:cstheme="majorBidi"/>
      <w:sz w:val="24"/>
      <w:szCs w:val="24"/>
    </w:rPr>
  </w:style>
  <w:style w:type="paragraph" w:styleId="ab">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7"/>
    <w:next w:val="a7"/>
    <w:link w:val="17"/>
    <w:autoRedefine/>
    <w:uiPriority w:val="35"/>
    <w:unhideWhenUsed/>
    <w:qFormat/>
    <w:rsid w:val="0042058C"/>
    <w:pPr>
      <w:keepNext/>
    </w:pPr>
    <w:rPr>
      <w:rFonts w:eastAsia="Times New Roman" w:cs="Times New Roman"/>
      <w:b/>
      <w:bCs/>
      <w:color w:val="00000A"/>
      <w:szCs w:val="1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b"/>
    <w:uiPriority w:val="35"/>
    <w:rsid w:val="0042058C"/>
    <w:rPr>
      <w:rFonts w:eastAsia="Times New Roman" w:cs="Times New Roman"/>
      <w:b/>
      <w:bCs/>
      <w:color w:val="00000A"/>
      <w:szCs w:val="18"/>
      <w:lang w:eastAsia="ru-RU"/>
    </w:rPr>
  </w:style>
  <w:style w:type="paragraph" w:styleId="ac">
    <w:name w:val="No Spacing"/>
    <w:aliases w:val="Основной,С интервалом и отступом"/>
    <w:link w:val="ad"/>
    <w:autoRedefine/>
    <w:uiPriority w:val="1"/>
    <w:qFormat/>
    <w:rsid w:val="0042058C"/>
    <w:pPr>
      <w:spacing w:after="0"/>
      <w:ind w:firstLine="709"/>
      <w:jc w:val="both"/>
    </w:pPr>
    <w:rPr>
      <w:rFonts w:ascii="Arial" w:hAnsi="Arial"/>
      <w:sz w:val="24"/>
    </w:rPr>
  </w:style>
  <w:style w:type="character" w:customStyle="1" w:styleId="ad">
    <w:name w:val="Без интервала Знак"/>
    <w:aliases w:val="Основной Знак,С интервалом и отступом Знак"/>
    <w:basedOn w:val="a8"/>
    <w:link w:val="ac"/>
    <w:uiPriority w:val="1"/>
    <w:locked/>
    <w:rsid w:val="0042058C"/>
    <w:rPr>
      <w:rFonts w:ascii="Arial" w:hAnsi="Arial"/>
      <w:sz w:val="24"/>
    </w:rPr>
  </w:style>
  <w:style w:type="paragraph" w:styleId="33">
    <w:name w:val="toc 3"/>
    <w:basedOn w:val="a7"/>
    <w:next w:val="a7"/>
    <w:autoRedefine/>
    <w:uiPriority w:val="39"/>
    <w:unhideWhenUsed/>
    <w:qFormat/>
    <w:rsid w:val="0042058C"/>
    <w:pPr>
      <w:tabs>
        <w:tab w:val="left" w:pos="1100"/>
        <w:tab w:val="right" w:leader="dot" w:pos="9344"/>
      </w:tabs>
      <w:spacing w:after="0"/>
      <w:ind w:left="567"/>
    </w:pPr>
    <w:rPr>
      <w:rFonts w:ascii="Impact" w:hAnsi="Impact" w:cs="Arial"/>
      <w:noProof/>
      <w:color w:val="595959" w:themeColor="text1" w:themeTint="A6"/>
      <w:szCs w:val="28"/>
    </w:rPr>
  </w:style>
  <w:style w:type="paragraph" w:styleId="ae">
    <w:name w:val="Title"/>
    <w:basedOn w:val="a7"/>
    <w:next w:val="a7"/>
    <w:link w:val="af"/>
    <w:uiPriority w:val="10"/>
    <w:qFormat/>
    <w:rsid w:val="0042058C"/>
    <w:pPr>
      <w:spacing w:after="0" w:line="240" w:lineRule="auto"/>
      <w:ind w:firstLine="709"/>
    </w:pPr>
    <w:rPr>
      <w:rFonts w:ascii="Arial" w:eastAsiaTheme="majorEastAsia" w:hAnsi="Arial" w:cstheme="majorBidi"/>
      <w:b/>
      <w:spacing w:val="5"/>
      <w:kern w:val="28"/>
      <w:sz w:val="24"/>
      <w:szCs w:val="52"/>
    </w:rPr>
  </w:style>
  <w:style w:type="character" w:customStyle="1" w:styleId="af">
    <w:name w:val="Название Знак"/>
    <w:basedOn w:val="a8"/>
    <w:link w:val="ae"/>
    <w:uiPriority w:val="99"/>
    <w:rsid w:val="0042058C"/>
    <w:rPr>
      <w:rFonts w:ascii="Arial" w:eastAsiaTheme="majorEastAsia" w:hAnsi="Arial" w:cstheme="majorBidi"/>
      <w:b/>
      <w:spacing w:val="5"/>
      <w:kern w:val="28"/>
      <w:sz w:val="24"/>
      <w:szCs w:val="52"/>
    </w:rPr>
  </w:style>
  <w:style w:type="paragraph" w:styleId="af0">
    <w:name w:val="footer"/>
    <w:aliases w:val=" Знак6,Знак6, Знак14, Знак"/>
    <w:basedOn w:val="a7"/>
    <w:link w:val="af1"/>
    <w:uiPriority w:val="99"/>
    <w:unhideWhenUsed/>
    <w:qFormat/>
    <w:rsid w:val="0042058C"/>
    <w:pPr>
      <w:tabs>
        <w:tab w:val="center" w:pos="4677"/>
        <w:tab w:val="right" w:pos="9355"/>
      </w:tabs>
      <w:spacing w:after="0" w:line="240" w:lineRule="auto"/>
    </w:pPr>
  </w:style>
  <w:style w:type="character" w:customStyle="1" w:styleId="af1">
    <w:name w:val="Нижний колонтитул Знак"/>
    <w:aliases w:val=" Знак6 Знак,Знак6 Знак, Знак14 Знак, Знак Знак"/>
    <w:basedOn w:val="a8"/>
    <w:link w:val="af0"/>
    <w:uiPriority w:val="99"/>
    <w:rsid w:val="0042058C"/>
  </w:style>
  <w:style w:type="paragraph" w:styleId="18">
    <w:name w:val="toc 1"/>
    <w:basedOn w:val="a7"/>
    <w:next w:val="a7"/>
    <w:autoRedefine/>
    <w:uiPriority w:val="39"/>
    <w:unhideWhenUsed/>
    <w:qFormat/>
    <w:rsid w:val="0042058C"/>
    <w:pPr>
      <w:tabs>
        <w:tab w:val="left" w:pos="660"/>
        <w:tab w:val="right" w:leader="dot" w:pos="9344"/>
      </w:tabs>
      <w:spacing w:after="0"/>
      <w:jc w:val="both"/>
    </w:pPr>
    <w:rPr>
      <w:rFonts w:ascii="Impact" w:hAnsi="Impact" w:cs="Arial"/>
      <w:bCs/>
      <w:caps/>
      <w:noProof/>
      <w:color w:val="595959" w:themeColor="text1" w:themeTint="A6"/>
      <w:sz w:val="32"/>
      <w:szCs w:val="32"/>
    </w:rPr>
  </w:style>
  <w:style w:type="paragraph" w:styleId="26">
    <w:name w:val="toc 2"/>
    <w:basedOn w:val="a7"/>
    <w:next w:val="a7"/>
    <w:link w:val="27"/>
    <w:autoRedefine/>
    <w:uiPriority w:val="39"/>
    <w:unhideWhenUsed/>
    <w:qFormat/>
    <w:rsid w:val="0042058C"/>
    <w:pPr>
      <w:tabs>
        <w:tab w:val="right" w:leader="dot" w:pos="9344"/>
      </w:tabs>
      <w:spacing w:after="0"/>
      <w:ind w:left="284"/>
    </w:pPr>
    <w:rPr>
      <w:rFonts w:ascii="Impact" w:hAnsi="Impact" w:cs="Arial"/>
      <w:bCs/>
      <w:noProof/>
      <w:color w:val="595959" w:themeColor="text1" w:themeTint="A6"/>
      <w:sz w:val="28"/>
      <w:szCs w:val="20"/>
    </w:rPr>
  </w:style>
  <w:style w:type="character" w:styleId="af2">
    <w:name w:val="Hyperlink"/>
    <w:basedOn w:val="a8"/>
    <w:uiPriority w:val="99"/>
    <w:unhideWhenUsed/>
    <w:rsid w:val="0042058C"/>
    <w:rPr>
      <w:color w:val="0000FF" w:themeColor="hyperlink"/>
      <w:u w:val="single"/>
    </w:rPr>
  </w:style>
  <w:style w:type="paragraph" w:customStyle="1" w:styleId="af3">
    <w:name w:val="Абзац"/>
    <w:basedOn w:val="a7"/>
    <w:link w:val="af4"/>
    <w:qFormat/>
    <w:rsid w:val="0042058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4">
    <w:name w:val="Абзац Знак"/>
    <w:link w:val="af3"/>
    <w:rsid w:val="0042058C"/>
    <w:rPr>
      <w:rFonts w:ascii="Times New Roman" w:eastAsia="Times New Roman" w:hAnsi="Times New Roman" w:cs="Times New Roman"/>
      <w:sz w:val="24"/>
      <w:szCs w:val="24"/>
      <w:lang w:eastAsia="ru-RU"/>
    </w:rPr>
  </w:style>
  <w:style w:type="paragraph" w:styleId="a4">
    <w:name w:val="List"/>
    <w:basedOn w:val="a7"/>
    <w:link w:val="af5"/>
    <w:qFormat/>
    <w:rsid w:val="0042058C"/>
    <w:pPr>
      <w:numPr>
        <w:numId w:val="2"/>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5">
    <w:name w:val="Список Знак"/>
    <w:link w:val="a4"/>
    <w:rsid w:val="0042058C"/>
    <w:rPr>
      <w:rFonts w:ascii="Times New Roman" w:eastAsia="Times New Roman" w:hAnsi="Times New Roman" w:cs="Times New Roman"/>
      <w:snapToGrid w:val="0"/>
      <w:sz w:val="24"/>
      <w:szCs w:val="24"/>
      <w:lang w:val="x-none" w:eastAsia="x-none"/>
    </w:rPr>
  </w:style>
  <w:style w:type="table" w:styleId="af6">
    <w:name w:val="Table Grid"/>
    <w:aliases w:val="Table Grid Report"/>
    <w:basedOn w:val="a9"/>
    <w:uiPriority w:val="39"/>
    <w:rsid w:val="00420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205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ertext">
    <w:name w:val="headertext"/>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7"/>
    <w:link w:val="19"/>
    <w:uiPriority w:val="99"/>
    <w:unhideWhenUsed/>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Содержимое таблицы"/>
    <w:basedOn w:val="a7"/>
    <w:rsid w:val="0042058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yle43">
    <w:name w:val="Style43"/>
    <w:basedOn w:val="a7"/>
    <w:rsid w:val="0042058C"/>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character" w:customStyle="1" w:styleId="FontStyle138">
    <w:name w:val="Font Style138"/>
    <w:rsid w:val="0042058C"/>
    <w:rPr>
      <w:rFonts w:ascii="Times New Roman" w:hAnsi="Times New Roman" w:cs="Times New Roman" w:hint="default"/>
      <w:sz w:val="24"/>
      <w:szCs w:val="24"/>
    </w:rPr>
  </w:style>
  <w:style w:type="character" w:customStyle="1" w:styleId="CharStyle4">
    <w:name w:val="CharStyle4"/>
    <w:basedOn w:val="a8"/>
    <w:rsid w:val="0042058C"/>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af9">
    <w:name w:val="Текст примечания Знак"/>
    <w:basedOn w:val="a8"/>
    <w:link w:val="afa"/>
    <w:uiPriority w:val="99"/>
    <w:rsid w:val="0042058C"/>
    <w:rPr>
      <w:sz w:val="20"/>
      <w:szCs w:val="20"/>
    </w:rPr>
  </w:style>
  <w:style w:type="paragraph" w:styleId="afa">
    <w:name w:val="annotation text"/>
    <w:basedOn w:val="a7"/>
    <w:link w:val="af9"/>
    <w:uiPriority w:val="99"/>
    <w:unhideWhenUsed/>
    <w:qFormat/>
    <w:rsid w:val="0042058C"/>
    <w:pPr>
      <w:spacing w:line="240" w:lineRule="auto"/>
    </w:pPr>
    <w:rPr>
      <w:sz w:val="20"/>
      <w:szCs w:val="20"/>
    </w:rPr>
  </w:style>
  <w:style w:type="character" w:customStyle="1" w:styleId="1a">
    <w:name w:val="Текст примечания Знак1"/>
    <w:basedOn w:val="a8"/>
    <w:uiPriority w:val="99"/>
    <w:rsid w:val="0042058C"/>
    <w:rPr>
      <w:sz w:val="20"/>
      <w:szCs w:val="20"/>
    </w:rPr>
  </w:style>
  <w:style w:type="character" w:customStyle="1" w:styleId="afb">
    <w:name w:val="Тема примечания Знак"/>
    <w:basedOn w:val="af9"/>
    <w:link w:val="afc"/>
    <w:uiPriority w:val="99"/>
    <w:rsid w:val="0042058C"/>
    <w:rPr>
      <w:b/>
      <w:bCs/>
      <w:sz w:val="20"/>
      <w:szCs w:val="20"/>
    </w:rPr>
  </w:style>
  <w:style w:type="paragraph" w:styleId="afc">
    <w:name w:val="annotation subject"/>
    <w:basedOn w:val="afa"/>
    <w:next w:val="afa"/>
    <w:link w:val="afb"/>
    <w:uiPriority w:val="99"/>
    <w:unhideWhenUsed/>
    <w:qFormat/>
    <w:rsid w:val="0042058C"/>
    <w:rPr>
      <w:b/>
      <w:bCs/>
    </w:rPr>
  </w:style>
  <w:style w:type="character" w:customStyle="1" w:styleId="1b">
    <w:name w:val="Тема примечания Знак1"/>
    <w:basedOn w:val="1a"/>
    <w:rsid w:val="0042058C"/>
    <w:rPr>
      <w:b/>
      <w:bCs/>
      <w:sz w:val="20"/>
      <w:szCs w:val="20"/>
    </w:rPr>
  </w:style>
  <w:style w:type="character" w:customStyle="1" w:styleId="afd">
    <w:name w:val="Текст выноски Знак"/>
    <w:aliases w:val=" Знак5 Знак,Знак5 Знак"/>
    <w:basedOn w:val="a8"/>
    <w:link w:val="afe"/>
    <w:uiPriority w:val="99"/>
    <w:rsid w:val="0042058C"/>
    <w:rPr>
      <w:rFonts w:ascii="Segoe UI" w:hAnsi="Segoe UI" w:cs="Segoe UI"/>
      <w:sz w:val="18"/>
      <w:szCs w:val="18"/>
    </w:rPr>
  </w:style>
  <w:style w:type="paragraph" w:styleId="afe">
    <w:name w:val="Balloon Text"/>
    <w:aliases w:val=" Знак5,Знак5"/>
    <w:basedOn w:val="a7"/>
    <w:link w:val="afd"/>
    <w:uiPriority w:val="99"/>
    <w:unhideWhenUsed/>
    <w:qFormat/>
    <w:rsid w:val="0042058C"/>
    <w:pPr>
      <w:spacing w:after="0" w:line="240" w:lineRule="auto"/>
    </w:pPr>
    <w:rPr>
      <w:rFonts w:ascii="Segoe UI" w:hAnsi="Segoe UI" w:cs="Segoe UI"/>
      <w:sz w:val="18"/>
      <w:szCs w:val="18"/>
    </w:rPr>
  </w:style>
  <w:style w:type="character" w:customStyle="1" w:styleId="1c">
    <w:name w:val="Текст выноски Знак1"/>
    <w:aliases w:val="Знак5 Знак1"/>
    <w:basedOn w:val="a8"/>
    <w:uiPriority w:val="99"/>
    <w:semiHidden/>
    <w:rsid w:val="0042058C"/>
    <w:rPr>
      <w:rFonts w:ascii="Tahoma" w:hAnsi="Tahoma" w:cs="Tahoma"/>
      <w:sz w:val="16"/>
      <w:szCs w:val="16"/>
    </w:rPr>
  </w:style>
  <w:style w:type="character" w:customStyle="1" w:styleId="2TimesNewRoman115pt">
    <w:name w:val="Основной текст (2) + Times New Roman;11;5 pt;Не курсив"/>
    <w:basedOn w:val="a8"/>
    <w:rsid w:val="0042058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211pt">
    <w:name w:val="Body text (2) + 11 pt"/>
    <w:basedOn w:val="a8"/>
    <w:rsid w:val="0042058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
    <w:name w:val="Body text (2)_"/>
    <w:basedOn w:val="a8"/>
    <w:link w:val="Bodytext20"/>
    <w:rsid w:val="0042058C"/>
    <w:rPr>
      <w:rFonts w:ascii="Times New Roman" w:eastAsia="Times New Roman" w:hAnsi="Times New Roman" w:cs="Times New Roman"/>
      <w:sz w:val="26"/>
      <w:szCs w:val="26"/>
      <w:shd w:val="clear" w:color="auto" w:fill="FFFFFF"/>
    </w:rPr>
  </w:style>
  <w:style w:type="paragraph" w:customStyle="1" w:styleId="Bodytext20">
    <w:name w:val="Body text (2)"/>
    <w:basedOn w:val="a7"/>
    <w:link w:val="Bodytext2"/>
    <w:rsid w:val="0042058C"/>
    <w:pPr>
      <w:widowControl w:val="0"/>
      <w:shd w:val="clear" w:color="auto" w:fill="FFFFFF"/>
      <w:spacing w:after="480" w:line="320" w:lineRule="exact"/>
    </w:pPr>
    <w:rPr>
      <w:rFonts w:ascii="Times New Roman" w:eastAsia="Times New Roman" w:hAnsi="Times New Roman" w:cs="Times New Roman"/>
      <w:sz w:val="26"/>
      <w:szCs w:val="26"/>
    </w:rPr>
  </w:style>
  <w:style w:type="character" w:customStyle="1" w:styleId="Bodytext211ptBold">
    <w:name w:val="Body text (2) + 11 pt;Bold"/>
    <w:basedOn w:val="Bodytext2"/>
    <w:rsid w:val="0042058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Exact">
    <w:name w:val="Body text (2) Exact"/>
    <w:basedOn w:val="a8"/>
    <w:rsid w:val="0042058C"/>
    <w:rPr>
      <w:rFonts w:ascii="Times New Roman" w:eastAsia="Times New Roman" w:hAnsi="Times New Roman" w:cs="Times New Roman"/>
      <w:b w:val="0"/>
      <w:bCs w:val="0"/>
      <w:i w:val="0"/>
      <w:iCs w:val="0"/>
      <w:smallCaps w:val="0"/>
      <w:strike w:val="0"/>
      <w:sz w:val="26"/>
      <w:szCs w:val="26"/>
      <w:u w:val="none"/>
    </w:rPr>
  </w:style>
  <w:style w:type="character" w:customStyle="1" w:styleId="Bodytext2Spacing1ptExact">
    <w:name w:val="Body text (2) + Spacing 1 pt Exact"/>
    <w:basedOn w:val="Bodytext2"/>
    <w:rsid w:val="0042058C"/>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paragraph" w:styleId="aff">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7"/>
    <w:link w:val="aff0"/>
    <w:uiPriority w:val="34"/>
    <w:qFormat/>
    <w:rsid w:val="0042058C"/>
    <w:pPr>
      <w:ind w:left="720"/>
      <w:contextualSpacing/>
    </w:pPr>
  </w:style>
  <w:style w:type="paragraph" w:customStyle="1" w:styleId="Standard">
    <w:name w:val="Standard"/>
    <w:rsid w:val="0042058C"/>
    <w:pPr>
      <w:suppressAutoHyphens/>
      <w:autoSpaceDN w:val="0"/>
      <w:textAlignment w:val="baseline"/>
    </w:pPr>
    <w:rPr>
      <w:rFonts w:ascii="Calibri" w:eastAsia="SimSun" w:hAnsi="Calibri" w:cs="F"/>
      <w:kern w:val="3"/>
    </w:rPr>
  </w:style>
  <w:style w:type="character" w:customStyle="1" w:styleId="265pt">
    <w:name w:val="Основной текст (2) + 6;5 pt;Полужирный"/>
    <w:basedOn w:val="a8"/>
    <w:rsid w:val="0042058C"/>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8">
    <w:name w:val="Основной текст (2)_"/>
    <w:basedOn w:val="a8"/>
    <w:link w:val="29"/>
    <w:rsid w:val="0042058C"/>
    <w:rPr>
      <w:rFonts w:ascii="Arial" w:eastAsia="Arial" w:hAnsi="Arial" w:cs="Arial"/>
      <w:sz w:val="14"/>
      <w:szCs w:val="14"/>
      <w:shd w:val="clear" w:color="auto" w:fill="FFFFFF"/>
    </w:rPr>
  </w:style>
  <w:style w:type="paragraph" w:customStyle="1" w:styleId="29">
    <w:name w:val="Основной текст (2)"/>
    <w:basedOn w:val="a7"/>
    <w:link w:val="28"/>
    <w:qFormat/>
    <w:rsid w:val="0042058C"/>
    <w:pPr>
      <w:widowControl w:val="0"/>
      <w:shd w:val="clear" w:color="auto" w:fill="FFFFFF"/>
      <w:spacing w:after="0" w:line="229" w:lineRule="exact"/>
      <w:ind w:hanging="520"/>
      <w:jc w:val="both"/>
    </w:pPr>
    <w:rPr>
      <w:rFonts w:ascii="Arial" w:eastAsia="Arial" w:hAnsi="Arial" w:cs="Arial"/>
      <w:sz w:val="14"/>
      <w:szCs w:val="14"/>
    </w:rPr>
  </w:style>
  <w:style w:type="character" w:customStyle="1" w:styleId="2ArialUnicodeMS">
    <w:name w:val="Основной текст (2) + Arial Unicode MS"/>
    <w:basedOn w:val="28"/>
    <w:rsid w:val="0042058C"/>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paragraph" w:styleId="aff1">
    <w:name w:val="header"/>
    <w:aliases w:val="ВерхКолонтитул, Знак4,Знак4, Знак8,Знак8"/>
    <w:basedOn w:val="a7"/>
    <w:link w:val="aff2"/>
    <w:uiPriority w:val="99"/>
    <w:unhideWhenUsed/>
    <w:qFormat/>
    <w:rsid w:val="0042058C"/>
    <w:pPr>
      <w:tabs>
        <w:tab w:val="center" w:pos="4677"/>
        <w:tab w:val="right" w:pos="9355"/>
      </w:tabs>
      <w:spacing w:after="0" w:line="240" w:lineRule="auto"/>
    </w:pPr>
  </w:style>
  <w:style w:type="character" w:customStyle="1" w:styleId="aff2">
    <w:name w:val="Верхний колонтитул Знак"/>
    <w:aliases w:val="ВерхКолонтитул Знак, Знак4 Знак,Знак4 Знак, Знак8 Знак,Знак8 Знак"/>
    <w:basedOn w:val="a8"/>
    <w:link w:val="aff1"/>
    <w:uiPriority w:val="99"/>
    <w:rsid w:val="0042058C"/>
  </w:style>
  <w:style w:type="character" w:customStyle="1" w:styleId="265pt0">
    <w:name w:val="Основной текст (2) + 6;5 pt"/>
    <w:basedOn w:val="a8"/>
    <w:rsid w:val="0042058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aff3">
    <w:name w:val="Текст сноски Знак"/>
    <w:aliases w:val=" Знак3 Знак, Знак1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
    <w:basedOn w:val="a8"/>
    <w:link w:val="aff4"/>
    <w:uiPriority w:val="99"/>
    <w:rsid w:val="0042058C"/>
    <w:rPr>
      <w:rFonts w:ascii="Times New Roman" w:hAnsi="Times New Roman"/>
      <w:sz w:val="20"/>
      <w:szCs w:val="20"/>
    </w:rPr>
  </w:style>
  <w:style w:type="paragraph" w:styleId="aff4">
    <w:name w:val="footnote text"/>
    <w:aliases w:val=" Знак3, Знак1,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7"/>
    <w:link w:val="aff3"/>
    <w:uiPriority w:val="99"/>
    <w:unhideWhenUsed/>
    <w:qFormat/>
    <w:rsid w:val="0042058C"/>
    <w:pPr>
      <w:spacing w:after="0" w:line="240" w:lineRule="auto"/>
      <w:ind w:firstLine="709"/>
      <w:jc w:val="both"/>
    </w:pPr>
    <w:rPr>
      <w:rFonts w:ascii="Times New Roman" w:hAnsi="Times New Roman"/>
      <w:sz w:val="20"/>
      <w:szCs w:val="20"/>
    </w:rPr>
  </w:style>
  <w:style w:type="character" w:customStyle="1" w:styleId="1d">
    <w:name w:val="Текст сноски Знак1"/>
    <w:basedOn w:val="a8"/>
    <w:uiPriority w:val="99"/>
    <w:semiHidden/>
    <w:rsid w:val="0042058C"/>
    <w:rPr>
      <w:sz w:val="20"/>
      <w:szCs w:val="20"/>
    </w:rPr>
  </w:style>
  <w:style w:type="character" w:customStyle="1" w:styleId="1e">
    <w:name w:val="Основной текст1"/>
    <w:basedOn w:val="a8"/>
    <w:rsid w:val="0042058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0">
    <w:name w:val="0_ТЕКСТ"/>
    <w:basedOn w:val="a7"/>
    <w:link w:val="00"/>
    <w:uiPriority w:val="99"/>
    <w:qFormat/>
    <w:rsid w:val="0042058C"/>
    <w:pPr>
      <w:widowControl w:val="0"/>
      <w:spacing w:after="240" w:line="360" w:lineRule="auto"/>
      <w:ind w:left="1418"/>
      <w:jc w:val="both"/>
    </w:pPr>
    <w:rPr>
      <w:rFonts w:ascii="Arial" w:eastAsia="Times New Roman" w:hAnsi="Arial" w:cs="Times New Roman"/>
      <w:sz w:val="24"/>
      <w:szCs w:val="20"/>
      <w:lang w:val="x-none" w:eastAsia="x-none"/>
    </w:rPr>
  </w:style>
  <w:style w:type="character" w:customStyle="1" w:styleId="00">
    <w:name w:val="0_ТЕКСТ Знак"/>
    <w:link w:val="0"/>
    <w:uiPriority w:val="99"/>
    <w:locked/>
    <w:rsid w:val="0042058C"/>
    <w:rPr>
      <w:rFonts w:ascii="Arial" w:eastAsia="Times New Roman" w:hAnsi="Arial" w:cs="Times New Roman"/>
      <w:sz w:val="24"/>
      <w:szCs w:val="20"/>
      <w:lang w:val="x-none" w:eastAsia="x-none"/>
    </w:rPr>
  </w:style>
  <w:style w:type="paragraph" w:customStyle="1" w:styleId="ConsPlusCell">
    <w:name w:val="ConsPlusCell"/>
    <w:uiPriority w:val="99"/>
    <w:rsid w:val="004205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 Знак"/>
    <w:aliases w:val="ПОДЗАГОЛОВКИ Знак"/>
    <w:basedOn w:val="a8"/>
    <w:link w:val="4"/>
    <w:rsid w:val="0042058C"/>
    <w:rPr>
      <w:rFonts w:ascii="Times New Roman" w:eastAsia="Times New Roman" w:hAnsi="Times New Roman" w:cs="Times New Roman"/>
      <w:b/>
      <w:iCs/>
      <w:sz w:val="28"/>
    </w:rPr>
  </w:style>
  <w:style w:type="character" w:customStyle="1" w:styleId="50">
    <w:name w:val="Заголовок 5 Знак"/>
    <w:basedOn w:val="a8"/>
    <w:link w:val="5"/>
    <w:rsid w:val="0042058C"/>
    <w:rPr>
      <w:rFonts w:ascii="Times New Roman" w:eastAsia="Times New Roman" w:hAnsi="Times New Roman" w:cs="Times New Roman"/>
      <w:b/>
      <w:sz w:val="28"/>
    </w:rPr>
  </w:style>
  <w:style w:type="character" w:customStyle="1" w:styleId="60">
    <w:name w:val="Заголовок 6 Знак"/>
    <w:basedOn w:val="a8"/>
    <w:link w:val="6"/>
    <w:rsid w:val="0042058C"/>
    <w:rPr>
      <w:rFonts w:ascii="Times New Roman" w:eastAsia="Times New Roman" w:hAnsi="Times New Roman" w:cs="Times New Roman"/>
      <w:b/>
      <w:sz w:val="28"/>
      <w:szCs w:val="24"/>
      <w:lang w:eastAsia="ru-RU"/>
    </w:rPr>
  </w:style>
  <w:style w:type="character" w:customStyle="1" w:styleId="70">
    <w:name w:val="Заголовок 7 Знак"/>
    <w:aliases w:val="Заголовок x.x Знак"/>
    <w:basedOn w:val="a8"/>
    <w:link w:val="7"/>
    <w:rsid w:val="0042058C"/>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8"/>
    <w:link w:val="8"/>
    <w:rsid w:val="0042058C"/>
    <w:rPr>
      <w:rFonts w:ascii="Times New Roman" w:eastAsia="Times New Roman" w:hAnsi="Times New Roman" w:cs="Times New Roman"/>
      <w:b/>
      <w:bCs/>
      <w:sz w:val="24"/>
      <w:szCs w:val="24"/>
      <w:lang w:eastAsia="ru-RU"/>
    </w:rPr>
  </w:style>
  <w:style w:type="character" w:customStyle="1" w:styleId="90">
    <w:name w:val="Заголовок 9 Знак"/>
    <w:basedOn w:val="a8"/>
    <w:link w:val="9"/>
    <w:rsid w:val="0042058C"/>
    <w:rPr>
      <w:rFonts w:ascii="Times New Roman" w:eastAsia="Times New Roman" w:hAnsi="Times New Roman" w:cs="Times New Roman"/>
      <w:sz w:val="24"/>
      <w:szCs w:val="24"/>
      <w:lang w:eastAsia="ru-RU"/>
    </w:rPr>
  </w:style>
  <w:style w:type="numbering" w:customStyle="1" w:styleId="1f">
    <w:name w:val="Нет списка1"/>
    <w:next w:val="aa"/>
    <w:semiHidden/>
    <w:rsid w:val="0042058C"/>
  </w:style>
  <w:style w:type="paragraph" w:customStyle="1" w:styleId="aff5">
    <w:name w:val="Знак Знак Знак Знак"/>
    <w:basedOn w:val="a7"/>
    <w:rsid w:val="0042058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6">
    <w:name w:val="Знак"/>
    <w:basedOn w:val="a7"/>
    <w:uiPriority w:val="99"/>
    <w:rsid w:val="0042058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1f0">
    <w:name w:val="Сетка таблицы1"/>
    <w:basedOn w:val="a9"/>
    <w:next w:val="af6"/>
    <w:rsid w:val="004205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4205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4205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uiPriority w:val="99"/>
    <w:unhideWhenUsed/>
    <w:rsid w:val="0042058C"/>
    <w:rPr>
      <w:vertAlign w:val="superscript"/>
    </w:rPr>
  </w:style>
  <w:style w:type="table" w:customStyle="1" w:styleId="TableGridReport1">
    <w:name w:val="Table Grid Report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8">
    <w:name w:val="_Таблица"/>
    <w:basedOn w:val="a9"/>
    <w:rsid w:val="0042058C"/>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table" w:customStyle="1" w:styleId="TableGridReport3">
    <w:name w:val="Table Grid Report3"/>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9"/>
    <w:next w:val="af6"/>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4">
    <w:name w:val="Table Grid Report24"/>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a"/>
    <w:uiPriority w:val="99"/>
    <w:semiHidden/>
    <w:unhideWhenUsed/>
    <w:rsid w:val="0042058C"/>
  </w:style>
  <w:style w:type="table" w:customStyle="1" w:styleId="TableGridReport27">
    <w:name w:val="Table Grid Report27"/>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ff"/>
    <w:uiPriority w:val="34"/>
    <w:locked/>
    <w:rsid w:val="0042058C"/>
  </w:style>
  <w:style w:type="paragraph" w:styleId="aff9">
    <w:name w:val="Body Text"/>
    <w:aliases w:val="Text1,Таймс Нью,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bt"/>
    <w:basedOn w:val="a7"/>
    <w:link w:val="affa"/>
    <w:unhideWhenUsed/>
    <w:qFormat/>
    <w:rsid w:val="0042058C"/>
    <w:pPr>
      <w:spacing w:after="120" w:line="256" w:lineRule="auto"/>
    </w:pPr>
    <w:rPr>
      <w:rFonts w:ascii="Calibri" w:eastAsia="Calibri" w:hAnsi="Calibri" w:cs="Times New Roman"/>
    </w:rPr>
  </w:style>
  <w:style w:type="character" w:customStyle="1" w:styleId="affa">
    <w:name w:val="Основной текст Знак"/>
    <w:aliases w:val="Text1 Знак,Таймс Нью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bt Знак"/>
    <w:basedOn w:val="a8"/>
    <w:link w:val="aff9"/>
    <w:rsid w:val="0042058C"/>
    <w:rPr>
      <w:rFonts w:ascii="Calibri" w:eastAsia="Calibri" w:hAnsi="Calibri" w:cs="Times New Roman"/>
    </w:rPr>
  </w:style>
  <w:style w:type="paragraph" w:customStyle="1" w:styleId="formattext">
    <w:name w:val="formattext"/>
    <w:basedOn w:val="a7"/>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7"/>
    <w:uiPriority w:val="99"/>
    <w:locked/>
    <w:rsid w:val="0042058C"/>
    <w:rPr>
      <w:rFonts w:ascii="Times New Roman" w:eastAsia="Times New Roman" w:hAnsi="Times New Roman" w:cs="Times New Roman"/>
      <w:sz w:val="24"/>
      <w:szCs w:val="24"/>
      <w:lang w:eastAsia="ru-RU"/>
    </w:rPr>
  </w:style>
  <w:style w:type="paragraph" w:styleId="affb">
    <w:name w:val="endnote text"/>
    <w:basedOn w:val="a7"/>
    <w:link w:val="affc"/>
    <w:uiPriority w:val="99"/>
    <w:unhideWhenUsed/>
    <w:qFormat/>
    <w:rsid w:val="0042058C"/>
    <w:pPr>
      <w:spacing w:after="0" w:line="240" w:lineRule="auto"/>
    </w:pPr>
    <w:rPr>
      <w:rFonts w:ascii="Calibri" w:eastAsia="Calibri" w:hAnsi="Calibri" w:cs="Times New Roman"/>
      <w:sz w:val="20"/>
      <w:szCs w:val="20"/>
    </w:rPr>
  </w:style>
  <w:style w:type="character" w:customStyle="1" w:styleId="affc">
    <w:name w:val="Текст концевой сноски Знак"/>
    <w:basedOn w:val="a8"/>
    <w:link w:val="affb"/>
    <w:uiPriority w:val="99"/>
    <w:rsid w:val="0042058C"/>
    <w:rPr>
      <w:rFonts w:ascii="Calibri" w:eastAsia="Calibri" w:hAnsi="Calibri" w:cs="Times New Roman"/>
      <w:sz w:val="20"/>
      <w:szCs w:val="20"/>
    </w:rPr>
  </w:style>
  <w:style w:type="character" w:styleId="affd">
    <w:name w:val="endnote reference"/>
    <w:unhideWhenUsed/>
    <w:rsid w:val="0042058C"/>
    <w:rPr>
      <w:vertAlign w:val="superscript"/>
    </w:rPr>
  </w:style>
  <w:style w:type="numbering" w:customStyle="1" w:styleId="1110">
    <w:name w:val="Нет списка111"/>
    <w:next w:val="aa"/>
    <w:semiHidden/>
    <w:unhideWhenUsed/>
    <w:rsid w:val="0042058C"/>
  </w:style>
  <w:style w:type="paragraph" w:customStyle="1" w:styleId="affe">
    <w:name w:val="Îáû÷íûé"/>
    <w:uiPriority w:val="99"/>
    <w:rsid w:val="0042058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41">
    <w:name w:val="çàãîëîâîê 4"/>
    <w:basedOn w:val="affe"/>
    <w:next w:val="affe"/>
    <w:rsid w:val="0042058C"/>
  </w:style>
  <w:style w:type="character" w:customStyle="1" w:styleId="afff">
    <w:name w:val="Îñíîâíîé øðèôò"/>
    <w:rsid w:val="0042058C"/>
  </w:style>
  <w:style w:type="paragraph" w:customStyle="1" w:styleId="1f1">
    <w:name w:val="Ñòèëü1"/>
    <w:basedOn w:val="affe"/>
    <w:rsid w:val="0042058C"/>
  </w:style>
  <w:style w:type="numbering" w:customStyle="1" w:styleId="1111">
    <w:name w:val="Нет списка1111"/>
    <w:next w:val="aa"/>
    <w:uiPriority w:val="99"/>
    <w:semiHidden/>
    <w:unhideWhenUsed/>
    <w:rsid w:val="0042058C"/>
  </w:style>
  <w:style w:type="character" w:customStyle="1" w:styleId="210">
    <w:name w:val="Заголовок 2 Знак1"/>
    <w:aliases w:val=" Знак2 Знак2, Знак2 Знак Знак1,Знак2 Знак Знак1, Знак2 Знак Знак Знак Знак1,Знак2 Знак3,Знак2 Знак Знак Знак Знак1,Знак2 Знак1 Знак1,ГЛАВА Знак1,Заголовок 2 Знак Знак Знак1,Заголовок 21 Знак1,Заголовок 2 Знак Знак Знак Знак Знак1"/>
    <w:uiPriority w:val="9"/>
    <w:qFormat/>
    <w:rsid w:val="0042058C"/>
    <w:rPr>
      <w:rFonts w:ascii="Times New Roman" w:eastAsia="Times New Roman" w:hAnsi="Times New Roman" w:cs="Times New Roman"/>
      <w:b/>
      <w:sz w:val="28"/>
      <w:szCs w:val="26"/>
    </w:rPr>
  </w:style>
  <w:style w:type="character" w:customStyle="1" w:styleId="27">
    <w:name w:val="Оглавление 2 Знак"/>
    <w:link w:val="26"/>
    <w:uiPriority w:val="39"/>
    <w:qFormat/>
    <w:rsid w:val="0042058C"/>
    <w:rPr>
      <w:rFonts w:ascii="Impact" w:hAnsi="Impact" w:cs="Arial"/>
      <w:bCs/>
      <w:noProof/>
      <w:color w:val="595959" w:themeColor="text1" w:themeTint="A6"/>
      <w:sz w:val="28"/>
      <w:szCs w:val="20"/>
    </w:rPr>
  </w:style>
  <w:style w:type="paragraph" w:styleId="42">
    <w:name w:val="toc 4"/>
    <w:basedOn w:val="a7"/>
    <w:next w:val="a7"/>
    <w:link w:val="43"/>
    <w:autoRedefine/>
    <w:uiPriority w:val="39"/>
    <w:unhideWhenUsed/>
    <w:qFormat/>
    <w:rsid w:val="0042058C"/>
    <w:pPr>
      <w:tabs>
        <w:tab w:val="right" w:leader="dot" w:pos="9488"/>
      </w:tabs>
      <w:spacing w:after="0" w:line="240" w:lineRule="auto"/>
      <w:ind w:firstLine="1134"/>
    </w:pPr>
    <w:rPr>
      <w:rFonts w:ascii="Times New Roman" w:eastAsia="Calibri" w:hAnsi="Times New Roman" w:cs="Calibri"/>
      <w:noProof/>
      <w:szCs w:val="18"/>
    </w:rPr>
  </w:style>
  <w:style w:type="paragraph" w:styleId="51">
    <w:name w:val="toc 5"/>
    <w:basedOn w:val="a7"/>
    <w:next w:val="a7"/>
    <w:autoRedefine/>
    <w:uiPriority w:val="39"/>
    <w:unhideWhenUsed/>
    <w:qFormat/>
    <w:rsid w:val="0042058C"/>
    <w:pPr>
      <w:spacing w:after="0" w:line="240" w:lineRule="auto"/>
      <w:ind w:left="1120" w:firstLine="709"/>
    </w:pPr>
    <w:rPr>
      <w:rFonts w:ascii="Calibri" w:eastAsia="Calibri" w:hAnsi="Calibri" w:cs="Calibri"/>
      <w:sz w:val="18"/>
      <w:szCs w:val="18"/>
    </w:rPr>
  </w:style>
  <w:style w:type="paragraph" w:styleId="61">
    <w:name w:val="toc 6"/>
    <w:basedOn w:val="a7"/>
    <w:next w:val="a7"/>
    <w:autoRedefine/>
    <w:uiPriority w:val="39"/>
    <w:unhideWhenUsed/>
    <w:qFormat/>
    <w:rsid w:val="0042058C"/>
    <w:pPr>
      <w:spacing w:after="0" w:line="240" w:lineRule="auto"/>
      <w:ind w:left="1400" w:firstLine="709"/>
    </w:pPr>
    <w:rPr>
      <w:rFonts w:ascii="Calibri" w:eastAsia="Calibri" w:hAnsi="Calibri" w:cs="Calibri"/>
      <w:sz w:val="18"/>
      <w:szCs w:val="18"/>
    </w:rPr>
  </w:style>
  <w:style w:type="paragraph" w:styleId="71">
    <w:name w:val="toc 7"/>
    <w:basedOn w:val="a7"/>
    <w:next w:val="a7"/>
    <w:autoRedefine/>
    <w:uiPriority w:val="39"/>
    <w:unhideWhenUsed/>
    <w:qFormat/>
    <w:rsid w:val="0042058C"/>
    <w:pPr>
      <w:spacing w:after="0" w:line="240" w:lineRule="auto"/>
      <w:ind w:left="1680" w:firstLine="709"/>
    </w:pPr>
    <w:rPr>
      <w:rFonts w:ascii="Calibri" w:eastAsia="Calibri" w:hAnsi="Calibri" w:cs="Calibri"/>
      <w:sz w:val="18"/>
      <w:szCs w:val="18"/>
    </w:rPr>
  </w:style>
  <w:style w:type="paragraph" w:styleId="81">
    <w:name w:val="toc 8"/>
    <w:basedOn w:val="a7"/>
    <w:next w:val="a7"/>
    <w:autoRedefine/>
    <w:uiPriority w:val="39"/>
    <w:unhideWhenUsed/>
    <w:qFormat/>
    <w:rsid w:val="0042058C"/>
    <w:pPr>
      <w:spacing w:after="0" w:line="240" w:lineRule="auto"/>
      <w:ind w:left="1960" w:firstLine="709"/>
    </w:pPr>
    <w:rPr>
      <w:rFonts w:ascii="Calibri" w:eastAsia="Calibri" w:hAnsi="Calibri" w:cs="Calibri"/>
      <w:sz w:val="18"/>
      <w:szCs w:val="18"/>
    </w:rPr>
  </w:style>
  <w:style w:type="paragraph" w:styleId="91">
    <w:name w:val="toc 9"/>
    <w:basedOn w:val="a7"/>
    <w:next w:val="a7"/>
    <w:autoRedefine/>
    <w:uiPriority w:val="39"/>
    <w:unhideWhenUsed/>
    <w:qFormat/>
    <w:rsid w:val="0042058C"/>
    <w:pPr>
      <w:spacing w:after="0" w:line="240" w:lineRule="auto"/>
      <w:ind w:left="2240" w:firstLine="709"/>
    </w:pPr>
    <w:rPr>
      <w:rFonts w:ascii="Calibri" w:eastAsia="Calibri" w:hAnsi="Calibri" w:cs="Calibri"/>
      <w:sz w:val="18"/>
      <w:szCs w:val="18"/>
    </w:rPr>
  </w:style>
  <w:style w:type="character" w:customStyle="1" w:styleId="1f2">
    <w:name w:val="Неразрешенное упоминание1"/>
    <w:uiPriority w:val="99"/>
    <w:semiHidden/>
    <w:unhideWhenUsed/>
    <w:rsid w:val="0042058C"/>
    <w:rPr>
      <w:color w:val="605E5C"/>
      <w:shd w:val="clear" w:color="auto" w:fill="E1DFDD"/>
    </w:rPr>
  </w:style>
  <w:style w:type="paragraph" w:styleId="2a">
    <w:name w:val="Body Text 2"/>
    <w:basedOn w:val="a7"/>
    <w:link w:val="2b"/>
    <w:unhideWhenUsed/>
    <w:qFormat/>
    <w:rsid w:val="0042058C"/>
    <w:pPr>
      <w:spacing w:after="120" w:line="480" w:lineRule="auto"/>
      <w:ind w:firstLine="709"/>
      <w:jc w:val="both"/>
    </w:pPr>
    <w:rPr>
      <w:rFonts w:ascii="Times New Roman" w:eastAsia="Calibri" w:hAnsi="Times New Roman" w:cs="Times New Roman"/>
      <w:sz w:val="28"/>
    </w:rPr>
  </w:style>
  <w:style w:type="character" w:customStyle="1" w:styleId="2b">
    <w:name w:val="Основной текст 2 Знак"/>
    <w:basedOn w:val="a8"/>
    <w:link w:val="2a"/>
    <w:rsid w:val="0042058C"/>
    <w:rPr>
      <w:rFonts w:ascii="Times New Roman" w:eastAsia="Calibri" w:hAnsi="Times New Roman" w:cs="Times New Roman"/>
      <w:sz w:val="28"/>
    </w:rPr>
  </w:style>
  <w:style w:type="paragraph" w:customStyle="1" w:styleId="10">
    <w:name w:val="Список_черточки_1_ур"/>
    <w:basedOn w:val="a7"/>
    <w:uiPriority w:val="99"/>
    <w:qFormat/>
    <w:rsid w:val="0042058C"/>
    <w:pPr>
      <w:numPr>
        <w:numId w:val="36"/>
      </w:numPr>
      <w:spacing w:after="0" w:line="240" w:lineRule="auto"/>
      <w:jc w:val="both"/>
    </w:pPr>
    <w:rPr>
      <w:rFonts w:ascii="Times New Roman" w:eastAsia="Times New Roman" w:hAnsi="Times New Roman" w:cs="Times New Roman"/>
      <w:sz w:val="28"/>
      <w:szCs w:val="24"/>
      <w:lang w:eastAsia="ru-RU"/>
    </w:rPr>
  </w:style>
  <w:style w:type="paragraph" w:customStyle="1" w:styleId="afff0">
    <w:name w:val="Табличный_название"/>
    <w:basedOn w:val="a7"/>
    <w:qFormat/>
    <w:rsid w:val="0042058C"/>
    <w:pPr>
      <w:spacing w:before="120" w:after="120" w:line="240" w:lineRule="auto"/>
      <w:ind w:firstLine="709"/>
      <w:jc w:val="both"/>
    </w:pPr>
    <w:rPr>
      <w:rFonts w:ascii="Times New Roman" w:eastAsia="Times New Roman" w:hAnsi="Times New Roman" w:cs="Times New Roman"/>
      <w:sz w:val="28"/>
      <w:szCs w:val="24"/>
      <w:lang w:eastAsia="ru-RU"/>
    </w:rPr>
  </w:style>
  <w:style w:type="paragraph" w:customStyle="1" w:styleId="afff1">
    <w:name w:val="Табличный_слева"/>
    <w:basedOn w:val="26"/>
    <w:uiPriority w:val="99"/>
    <w:qFormat/>
    <w:rsid w:val="0042058C"/>
    <w:pPr>
      <w:tabs>
        <w:tab w:val="clear" w:pos="9344"/>
        <w:tab w:val="right" w:leader="dot" w:pos="9488"/>
      </w:tabs>
      <w:spacing w:line="240" w:lineRule="auto"/>
      <w:ind w:left="0"/>
      <w:jc w:val="both"/>
    </w:pPr>
    <w:rPr>
      <w:rFonts w:ascii="Calibri" w:eastAsia="Calibri" w:hAnsi="Calibri" w:cs="Calibri"/>
      <w:bCs w:val="0"/>
      <w:noProof w:val="0"/>
      <w:color w:val="auto"/>
      <w:sz w:val="24"/>
      <w:szCs w:val="22"/>
    </w:rPr>
  </w:style>
  <w:style w:type="paragraph" w:customStyle="1" w:styleId="afff2">
    <w:name w:val="Название_рисунка"/>
    <w:basedOn w:val="afff0"/>
    <w:qFormat/>
    <w:rsid w:val="0042058C"/>
    <w:pPr>
      <w:jc w:val="center"/>
    </w:pPr>
  </w:style>
  <w:style w:type="paragraph" w:styleId="1f3">
    <w:name w:val="index 1"/>
    <w:basedOn w:val="a7"/>
    <w:next w:val="a7"/>
    <w:autoRedefine/>
    <w:uiPriority w:val="99"/>
    <w:unhideWhenUsed/>
    <w:qFormat/>
    <w:rsid w:val="0042058C"/>
    <w:pPr>
      <w:spacing w:after="0" w:line="240" w:lineRule="auto"/>
      <w:ind w:left="220" w:hanging="220"/>
      <w:jc w:val="both"/>
    </w:pPr>
    <w:rPr>
      <w:rFonts w:ascii="Times New Roman" w:eastAsia="Times New Roman" w:hAnsi="Times New Roman" w:cs="Times New Roman"/>
      <w:sz w:val="28"/>
    </w:rPr>
  </w:style>
  <w:style w:type="paragraph" w:customStyle="1" w:styleId="120">
    <w:name w:val="Табличный_заголовок_12"/>
    <w:basedOn w:val="a7"/>
    <w:qFormat/>
    <w:rsid w:val="0042058C"/>
    <w:pPr>
      <w:spacing w:after="0" w:line="240" w:lineRule="auto"/>
      <w:ind w:firstLine="709"/>
      <w:jc w:val="center"/>
    </w:pPr>
    <w:rPr>
      <w:rFonts w:ascii="Times New Roman" w:eastAsia="Times New Roman" w:hAnsi="Times New Roman" w:cs="Times New Roman"/>
      <w:b/>
      <w:sz w:val="24"/>
      <w:szCs w:val="18"/>
      <w:lang w:eastAsia="ru-RU"/>
    </w:rPr>
  </w:style>
  <w:style w:type="paragraph" w:customStyle="1" w:styleId="afff3">
    <w:name w:val="Табличный_центр"/>
    <w:basedOn w:val="a7"/>
    <w:qFormat/>
    <w:rsid w:val="0042058C"/>
    <w:pPr>
      <w:spacing w:after="0" w:line="240" w:lineRule="auto"/>
      <w:jc w:val="center"/>
    </w:pPr>
    <w:rPr>
      <w:rFonts w:ascii="Times New Roman" w:eastAsia="Times New Roman" w:hAnsi="Times New Roman" w:cs="Times New Roman"/>
      <w:lang w:eastAsia="ru-RU"/>
    </w:rPr>
  </w:style>
  <w:style w:type="paragraph" w:customStyle="1" w:styleId="afff4">
    <w:name w:val="Табличный_нумерованный"/>
    <w:basedOn w:val="a7"/>
    <w:link w:val="afff5"/>
    <w:qFormat/>
    <w:rsid w:val="0042058C"/>
    <w:pPr>
      <w:spacing w:after="0" w:line="240" w:lineRule="auto"/>
    </w:pPr>
    <w:rPr>
      <w:rFonts w:ascii="Times New Roman" w:eastAsia="Times New Roman" w:hAnsi="Times New Roman" w:cs="Times New Roman"/>
      <w:lang w:eastAsia="ru-RU"/>
    </w:rPr>
  </w:style>
  <w:style w:type="character" w:customStyle="1" w:styleId="afff5">
    <w:name w:val="Табличный_нумерованный Знак"/>
    <w:link w:val="afff4"/>
    <w:rsid w:val="0042058C"/>
    <w:rPr>
      <w:rFonts w:ascii="Times New Roman" w:eastAsia="Times New Roman" w:hAnsi="Times New Roman" w:cs="Times New Roman"/>
      <w:lang w:eastAsia="ru-RU"/>
    </w:rPr>
  </w:style>
  <w:style w:type="paragraph" w:customStyle="1" w:styleId="afff6">
    <w:name w:val="Табличный_по ширине"/>
    <w:basedOn w:val="a7"/>
    <w:qFormat/>
    <w:rsid w:val="0042058C"/>
    <w:pPr>
      <w:spacing w:after="0" w:line="240" w:lineRule="auto"/>
      <w:jc w:val="both"/>
    </w:pPr>
    <w:rPr>
      <w:rFonts w:ascii="Times New Roman" w:eastAsia="Times New Roman" w:hAnsi="Times New Roman" w:cs="Times New Roman"/>
      <w:lang w:eastAsia="ru-RU"/>
    </w:rPr>
  </w:style>
  <w:style w:type="character" w:customStyle="1" w:styleId="34">
    <w:name w:val="Основной текст с отступом 3 Знак"/>
    <w:aliases w:val=" Знак Знак Знак Знак"/>
    <w:link w:val="35"/>
    <w:uiPriority w:val="99"/>
    <w:rsid w:val="0042058C"/>
    <w:rPr>
      <w:sz w:val="28"/>
    </w:rPr>
  </w:style>
  <w:style w:type="paragraph" w:styleId="35">
    <w:name w:val="Body Text Indent 3"/>
    <w:aliases w:val=" Знак Знак Знак"/>
    <w:basedOn w:val="a7"/>
    <w:link w:val="34"/>
    <w:uiPriority w:val="99"/>
    <w:qFormat/>
    <w:rsid w:val="0042058C"/>
    <w:pPr>
      <w:widowControl w:val="0"/>
      <w:spacing w:after="0" w:line="360" w:lineRule="auto"/>
      <w:ind w:firstLine="851"/>
      <w:jc w:val="both"/>
    </w:pPr>
    <w:rPr>
      <w:sz w:val="28"/>
    </w:rPr>
  </w:style>
  <w:style w:type="character" w:customStyle="1" w:styleId="310">
    <w:name w:val="Основной текст с отступом 3 Знак1"/>
    <w:aliases w:val="Знак Знак Знак Знак2"/>
    <w:basedOn w:val="a8"/>
    <w:rsid w:val="0042058C"/>
    <w:rPr>
      <w:sz w:val="16"/>
      <w:szCs w:val="16"/>
    </w:rPr>
  </w:style>
  <w:style w:type="character" w:customStyle="1" w:styleId="afff7">
    <w:name w:val="Основной текст с отступом Знак"/>
    <w:aliases w:val="Основной текст 1 Знак,Основной текст 11 Знак"/>
    <w:link w:val="afff8"/>
    <w:uiPriority w:val="99"/>
    <w:rsid w:val="0042058C"/>
    <w:rPr>
      <w:sz w:val="28"/>
      <w:szCs w:val="24"/>
    </w:rPr>
  </w:style>
  <w:style w:type="paragraph" w:styleId="afff8">
    <w:name w:val="Body Text Indent"/>
    <w:aliases w:val="Основной текст 1,Основной текст 11"/>
    <w:basedOn w:val="a7"/>
    <w:link w:val="afff7"/>
    <w:uiPriority w:val="99"/>
    <w:qFormat/>
    <w:rsid w:val="0042058C"/>
    <w:pPr>
      <w:spacing w:after="0" w:line="360" w:lineRule="auto"/>
      <w:ind w:firstLine="540"/>
      <w:jc w:val="both"/>
    </w:pPr>
    <w:rPr>
      <w:sz w:val="28"/>
      <w:szCs w:val="24"/>
    </w:rPr>
  </w:style>
  <w:style w:type="character" w:customStyle="1" w:styleId="1f4">
    <w:name w:val="Основной текст с отступом Знак1"/>
    <w:basedOn w:val="a8"/>
    <w:uiPriority w:val="99"/>
    <w:rsid w:val="0042058C"/>
  </w:style>
  <w:style w:type="character" w:customStyle="1" w:styleId="2c">
    <w:name w:val="Основной текст с отступом 2 Знак"/>
    <w:link w:val="2d"/>
    <w:uiPriority w:val="99"/>
    <w:rsid w:val="0042058C"/>
    <w:rPr>
      <w:sz w:val="24"/>
      <w:szCs w:val="24"/>
    </w:rPr>
  </w:style>
  <w:style w:type="paragraph" w:styleId="2d">
    <w:name w:val="Body Text Indent 2"/>
    <w:basedOn w:val="a7"/>
    <w:link w:val="2c"/>
    <w:uiPriority w:val="99"/>
    <w:qFormat/>
    <w:rsid w:val="0042058C"/>
    <w:pPr>
      <w:spacing w:after="0" w:line="240" w:lineRule="auto"/>
      <w:ind w:firstLine="540"/>
    </w:pPr>
    <w:rPr>
      <w:sz w:val="24"/>
      <w:szCs w:val="24"/>
    </w:rPr>
  </w:style>
  <w:style w:type="character" w:customStyle="1" w:styleId="211">
    <w:name w:val="Основной текст с отступом 2 Знак1"/>
    <w:basedOn w:val="a8"/>
    <w:rsid w:val="0042058C"/>
  </w:style>
  <w:style w:type="character" w:customStyle="1" w:styleId="212">
    <w:name w:val="Основной текст 2 Знак1"/>
    <w:aliases w:val="Знак1 Знак1"/>
    <w:rsid w:val="0042058C"/>
    <w:rPr>
      <w:rFonts w:ascii="Times New Roman" w:eastAsia="Times New Roman" w:hAnsi="Times New Roman" w:cs="Times New Roman"/>
      <w:sz w:val="28"/>
    </w:rPr>
  </w:style>
  <w:style w:type="character" w:customStyle="1" w:styleId="36">
    <w:name w:val="Основной текст 3 Знак"/>
    <w:link w:val="37"/>
    <w:uiPriority w:val="99"/>
    <w:rsid w:val="0042058C"/>
    <w:rPr>
      <w:sz w:val="16"/>
      <w:szCs w:val="16"/>
    </w:rPr>
  </w:style>
  <w:style w:type="paragraph" w:styleId="37">
    <w:name w:val="Body Text 3"/>
    <w:basedOn w:val="a7"/>
    <w:link w:val="36"/>
    <w:uiPriority w:val="99"/>
    <w:qFormat/>
    <w:rsid w:val="0042058C"/>
    <w:pPr>
      <w:spacing w:after="120" w:line="240" w:lineRule="auto"/>
    </w:pPr>
    <w:rPr>
      <w:sz w:val="16"/>
      <w:szCs w:val="16"/>
    </w:rPr>
  </w:style>
  <w:style w:type="character" w:customStyle="1" w:styleId="311">
    <w:name w:val="Основной текст 3 Знак1"/>
    <w:basedOn w:val="a8"/>
    <w:rsid w:val="0042058C"/>
    <w:rPr>
      <w:sz w:val="16"/>
      <w:szCs w:val="16"/>
    </w:rPr>
  </w:style>
  <w:style w:type="character" w:customStyle="1" w:styleId="afff9">
    <w:name w:val="Текст Знак"/>
    <w:link w:val="afffa"/>
    <w:uiPriority w:val="99"/>
    <w:rsid w:val="0042058C"/>
    <w:rPr>
      <w:rFonts w:ascii="Courier New" w:hAnsi="Courier New" w:cs="Courier New"/>
    </w:rPr>
  </w:style>
  <w:style w:type="paragraph" w:styleId="afffa">
    <w:name w:val="Plain Text"/>
    <w:basedOn w:val="a7"/>
    <w:link w:val="afff9"/>
    <w:uiPriority w:val="99"/>
    <w:qFormat/>
    <w:rsid w:val="0042058C"/>
    <w:pPr>
      <w:autoSpaceDE w:val="0"/>
      <w:autoSpaceDN w:val="0"/>
      <w:spacing w:after="0" w:line="240" w:lineRule="auto"/>
    </w:pPr>
    <w:rPr>
      <w:rFonts w:ascii="Courier New" w:hAnsi="Courier New" w:cs="Courier New"/>
    </w:rPr>
  </w:style>
  <w:style w:type="character" w:customStyle="1" w:styleId="1f5">
    <w:name w:val="Текст Знак1"/>
    <w:basedOn w:val="a8"/>
    <w:rsid w:val="0042058C"/>
    <w:rPr>
      <w:rFonts w:ascii="Consolas" w:hAnsi="Consolas"/>
      <w:sz w:val="21"/>
      <w:szCs w:val="21"/>
    </w:rPr>
  </w:style>
  <w:style w:type="character" w:customStyle="1" w:styleId="afffb">
    <w:name w:val="Схема документа Знак"/>
    <w:link w:val="afffc"/>
    <w:uiPriority w:val="99"/>
    <w:rsid w:val="0042058C"/>
    <w:rPr>
      <w:rFonts w:ascii="Tahoma" w:hAnsi="Tahoma" w:cs="Tahoma"/>
      <w:sz w:val="24"/>
      <w:szCs w:val="24"/>
      <w:shd w:val="clear" w:color="auto" w:fill="000080"/>
    </w:rPr>
  </w:style>
  <w:style w:type="paragraph" w:styleId="afffc">
    <w:name w:val="Document Map"/>
    <w:basedOn w:val="a7"/>
    <w:link w:val="afffb"/>
    <w:uiPriority w:val="99"/>
    <w:qFormat/>
    <w:rsid w:val="0042058C"/>
    <w:pPr>
      <w:shd w:val="clear" w:color="auto" w:fill="000080"/>
      <w:spacing w:after="0" w:line="240" w:lineRule="auto"/>
    </w:pPr>
    <w:rPr>
      <w:rFonts w:ascii="Tahoma" w:hAnsi="Tahoma" w:cs="Tahoma"/>
      <w:sz w:val="24"/>
      <w:szCs w:val="24"/>
    </w:rPr>
  </w:style>
  <w:style w:type="character" w:customStyle="1" w:styleId="1f6">
    <w:name w:val="Схема документа Знак1"/>
    <w:basedOn w:val="a8"/>
    <w:rsid w:val="0042058C"/>
    <w:rPr>
      <w:rFonts w:ascii="Tahoma" w:hAnsi="Tahoma" w:cs="Tahoma"/>
      <w:sz w:val="16"/>
      <w:szCs w:val="16"/>
    </w:rPr>
  </w:style>
  <w:style w:type="character" w:customStyle="1" w:styleId="1f7">
    <w:name w:val="Текст концевой сноски Знак1"/>
    <w:rsid w:val="0042058C"/>
    <w:rPr>
      <w:sz w:val="20"/>
      <w:szCs w:val="20"/>
    </w:rPr>
  </w:style>
  <w:style w:type="character" w:customStyle="1" w:styleId="1f8">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2058C"/>
    <w:rPr>
      <w:sz w:val="20"/>
      <w:szCs w:val="20"/>
    </w:rPr>
  </w:style>
  <w:style w:type="paragraph" w:customStyle="1" w:styleId="1f9">
    <w:name w:val="Список 1)"/>
    <w:basedOn w:val="a7"/>
    <w:qFormat/>
    <w:rsid w:val="0042058C"/>
    <w:pPr>
      <w:spacing w:after="60" w:line="240" w:lineRule="auto"/>
      <w:ind w:left="-141" w:firstLine="567"/>
      <w:jc w:val="both"/>
    </w:pPr>
    <w:rPr>
      <w:rFonts w:ascii="Times New Roman" w:eastAsia="Times New Roman" w:hAnsi="Times New Roman" w:cs="Times New Roman"/>
      <w:sz w:val="24"/>
      <w:szCs w:val="24"/>
      <w:lang w:eastAsia="ru-RU"/>
    </w:rPr>
  </w:style>
  <w:style w:type="character" w:styleId="afffd">
    <w:name w:val="annotation reference"/>
    <w:uiPriority w:val="99"/>
    <w:unhideWhenUsed/>
    <w:rsid w:val="0042058C"/>
    <w:rPr>
      <w:sz w:val="16"/>
      <w:szCs w:val="16"/>
    </w:rPr>
  </w:style>
  <w:style w:type="paragraph" w:styleId="2e">
    <w:name w:val="List 2"/>
    <w:basedOn w:val="a7"/>
    <w:uiPriority w:val="99"/>
    <w:unhideWhenUsed/>
    <w:qFormat/>
    <w:rsid w:val="0042058C"/>
    <w:pPr>
      <w:spacing w:after="0" w:line="240" w:lineRule="auto"/>
      <w:ind w:left="566" w:hanging="283"/>
      <w:contextualSpacing/>
      <w:jc w:val="both"/>
    </w:pPr>
    <w:rPr>
      <w:rFonts w:ascii="Times New Roman" w:eastAsia="Times New Roman" w:hAnsi="Times New Roman" w:cs="Times New Roman"/>
      <w:sz w:val="28"/>
    </w:rPr>
  </w:style>
  <w:style w:type="paragraph" w:styleId="38">
    <w:name w:val="List 3"/>
    <w:basedOn w:val="a7"/>
    <w:uiPriority w:val="99"/>
    <w:unhideWhenUsed/>
    <w:qFormat/>
    <w:rsid w:val="0042058C"/>
    <w:pPr>
      <w:spacing w:after="0" w:line="240" w:lineRule="auto"/>
      <w:ind w:left="849" w:hanging="283"/>
      <w:contextualSpacing/>
      <w:jc w:val="both"/>
    </w:pPr>
    <w:rPr>
      <w:rFonts w:ascii="Times New Roman" w:eastAsia="Times New Roman" w:hAnsi="Times New Roman" w:cs="Times New Roman"/>
      <w:sz w:val="28"/>
    </w:rPr>
  </w:style>
  <w:style w:type="paragraph" w:styleId="3">
    <w:name w:val="List Bullet 3"/>
    <w:basedOn w:val="a7"/>
    <w:uiPriority w:val="99"/>
    <w:unhideWhenUsed/>
    <w:qFormat/>
    <w:rsid w:val="0042058C"/>
    <w:pPr>
      <w:numPr>
        <w:numId w:val="37"/>
      </w:numPr>
      <w:spacing w:after="0" w:line="240" w:lineRule="auto"/>
      <w:contextualSpacing/>
      <w:jc w:val="both"/>
    </w:pPr>
    <w:rPr>
      <w:rFonts w:ascii="Times New Roman" w:eastAsia="Times New Roman" w:hAnsi="Times New Roman" w:cs="Times New Roman"/>
      <w:sz w:val="28"/>
    </w:rPr>
  </w:style>
  <w:style w:type="paragraph" w:styleId="2">
    <w:name w:val="List Bullet 2"/>
    <w:basedOn w:val="a7"/>
    <w:uiPriority w:val="99"/>
    <w:unhideWhenUsed/>
    <w:qFormat/>
    <w:rsid w:val="0042058C"/>
    <w:pPr>
      <w:numPr>
        <w:numId w:val="38"/>
      </w:numPr>
      <w:spacing w:after="0" w:line="240" w:lineRule="auto"/>
      <w:contextualSpacing/>
      <w:jc w:val="both"/>
    </w:pPr>
    <w:rPr>
      <w:rFonts w:ascii="Times New Roman" w:eastAsia="Times New Roman" w:hAnsi="Times New Roman" w:cs="Times New Roman"/>
      <w:sz w:val="28"/>
    </w:rPr>
  </w:style>
  <w:style w:type="paragraph" w:customStyle="1" w:styleId="110">
    <w:name w:val="Раздел_1_1"/>
    <w:basedOn w:val="a7"/>
    <w:qFormat/>
    <w:rsid w:val="0042058C"/>
    <w:pPr>
      <w:numPr>
        <w:ilvl w:val="1"/>
        <w:numId w:val="39"/>
      </w:numPr>
      <w:shd w:val="clear" w:color="auto" w:fill="FFFFFF"/>
      <w:tabs>
        <w:tab w:val="clear" w:pos="1288"/>
        <w:tab w:val="num" w:pos="360"/>
      </w:tabs>
      <w:suppressAutoHyphens/>
      <w:overflowPunct w:val="0"/>
      <w:autoSpaceDE w:val="0"/>
      <w:spacing w:before="140" w:after="140" w:line="240" w:lineRule="auto"/>
      <w:ind w:left="720" w:firstLine="0"/>
      <w:jc w:val="both"/>
      <w:textAlignment w:val="baseline"/>
      <w:outlineLvl w:val="1"/>
    </w:pPr>
    <w:rPr>
      <w:rFonts w:ascii="Times New Roman" w:eastAsia="Times New Roman" w:hAnsi="Times New Roman" w:cs="Times New Roman"/>
      <w:b/>
      <w:color w:val="000000"/>
      <w:sz w:val="28"/>
      <w:szCs w:val="28"/>
      <w:lang w:eastAsia="ar-SA"/>
    </w:rPr>
  </w:style>
  <w:style w:type="paragraph" w:customStyle="1" w:styleId="afffe">
    <w:name w:val="Табличный_заголовок"/>
    <w:basedOn w:val="afff1"/>
    <w:uiPriority w:val="99"/>
    <w:qFormat/>
    <w:rsid w:val="0042058C"/>
    <w:pPr>
      <w:widowControl w:val="0"/>
      <w:jc w:val="center"/>
    </w:pPr>
    <w:rPr>
      <w:rFonts w:cs="Times New Roman"/>
      <w:b/>
    </w:rPr>
  </w:style>
  <w:style w:type="character" w:styleId="affff">
    <w:name w:val="FollowedHyperlink"/>
    <w:uiPriority w:val="99"/>
    <w:unhideWhenUsed/>
    <w:rsid w:val="0042058C"/>
    <w:rPr>
      <w:color w:val="954F72"/>
      <w:u w:val="single"/>
    </w:rPr>
  </w:style>
  <w:style w:type="character" w:customStyle="1" w:styleId="1fa">
    <w:name w:val="Верхний колонтитул Знак1"/>
    <w:aliases w:val="ВерхКолонтитул Знак1,Знак4 Знак1,Знак8 Знак1"/>
    <w:semiHidden/>
    <w:rsid w:val="0042058C"/>
    <w:rPr>
      <w:rFonts w:ascii="Times New Roman" w:eastAsia="Times New Roman" w:hAnsi="Times New Roman" w:cs="Times New Roman"/>
      <w:sz w:val="24"/>
      <w:szCs w:val="24"/>
      <w:lang w:eastAsia="ru-RU"/>
    </w:rPr>
  </w:style>
  <w:style w:type="table" w:customStyle="1" w:styleId="TableGrid">
    <w:name w:val="TableGrid"/>
    <w:rsid w:val="0042058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
    <w:name w:val="Неразрешенное упоминание2"/>
    <w:uiPriority w:val="99"/>
    <w:semiHidden/>
    <w:unhideWhenUsed/>
    <w:rsid w:val="0042058C"/>
    <w:rPr>
      <w:color w:val="605E5C"/>
      <w:shd w:val="clear" w:color="auto" w:fill="E1DFDD"/>
    </w:rPr>
  </w:style>
  <w:style w:type="paragraph" w:customStyle="1" w:styleId="2f0">
    <w:name w:val="Список_черточки_2_ур"/>
    <w:basedOn w:val="10"/>
    <w:qFormat/>
    <w:rsid w:val="0042058C"/>
    <w:pPr>
      <w:ind w:left="1208"/>
    </w:pPr>
  </w:style>
  <w:style w:type="paragraph" w:styleId="affff0">
    <w:name w:val="TOC Heading"/>
    <w:basedOn w:val="15"/>
    <w:next w:val="a7"/>
    <w:uiPriority w:val="39"/>
    <w:unhideWhenUsed/>
    <w:qFormat/>
    <w:rsid w:val="0042058C"/>
    <w:pPr>
      <w:spacing w:before="240" w:line="259" w:lineRule="auto"/>
      <w:ind w:left="360"/>
      <w:outlineLvl w:val="9"/>
    </w:pPr>
    <w:rPr>
      <w:rFonts w:ascii="Calibri Light" w:eastAsia="Times New Roman" w:hAnsi="Calibri Light" w:cs="Times New Roman"/>
      <w:b w:val="0"/>
      <w:bCs w:val="0"/>
      <w:color w:val="2F5496"/>
      <w:sz w:val="32"/>
      <w:szCs w:val="32"/>
      <w:lang w:eastAsia="ru-RU"/>
    </w:rPr>
  </w:style>
  <w:style w:type="character" w:customStyle="1" w:styleId="badge">
    <w:name w:val="badge"/>
    <w:qFormat/>
    <w:rsid w:val="0042058C"/>
  </w:style>
  <w:style w:type="paragraph" w:styleId="affff1">
    <w:name w:val="Subtitle"/>
    <w:basedOn w:val="a7"/>
    <w:link w:val="affff2"/>
    <w:uiPriority w:val="99"/>
    <w:qFormat/>
    <w:rsid w:val="0042058C"/>
    <w:pPr>
      <w:spacing w:before="120" w:after="120" w:line="240" w:lineRule="auto"/>
      <w:jc w:val="center"/>
    </w:pPr>
    <w:rPr>
      <w:rFonts w:ascii="Times New Roman" w:eastAsia="Times New Roman" w:hAnsi="Times New Roman" w:cs="Times New Roman"/>
      <w:b/>
      <w:bCs/>
      <w:i/>
      <w:color w:val="00000A"/>
      <w:sz w:val="28"/>
      <w:szCs w:val="20"/>
      <w:lang w:eastAsia="ru-RU"/>
    </w:rPr>
  </w:style>
  <w:style w:type="character" w:customStyle="1" w:styleId="affff2">
    <w:name w:val="Подзаголовок Знак"/>
    <w:basedOn w:val="a8"/>
    <w:link w:val="affff1"/>
    <w:uiPriority w:val="99"/>
    <w:rsid w:val="0042058C"/>
    <w:rPr>
      <w:rFonts w:ascii="Times New Roman" w:eastAsia="Times New Roman" w:hAnsi="Times New Roman" w:cs="Times New Roman"/>
      <w:b/>
      <w:bCs/>
      <w:i/>
      <w:color w:val="00000A"/>
      <w:sz w:val="28"/>
      <w:szCs w:val="20"/>
      <w:lang w:eastAsia="ru-RU"/>
    </w:rPr>
  </w:style>
  <w:style w:type="character" w:styleId="affff3">
    <w:name w:val="Strong"/>
    <w:uiPriority w:val="22"/>
    <w:qFormat/>
    <w:rsid w:val="0042058C"/>
    <w:rPr>
      <w:b/>
      <w:bCs/>
    </w:rPr>
  </w:style>
  <w:style w:type="character" w:customStyle="1" w:styleId="affff4">
    <w:name w:val="Подпись к таблице"/>
    <w:rsid w:val="0042058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главление 4 Знак"/>
    <w:link w:val="42"/>
    <w:uiPriority w:val="39"/>
    <w:rsid w:val="0042058C"/>
    <w:rPr>
      <w:rFonts w:ascii="Times New Roman" w:eastAsia="Calibri" w:hAnsi="Times New Roman" w:cs="Calibri"/>
      <w:noProof/>
      <w:szCs w:val="18"/>
    </w:rPr>
  </w:style>
  <w:style w:type="character" w:customStyle="1" w:styleId="2115pt">
    <w:name w:val="Основной текст (2) + 11;5 pt"/>
    <w:rsid w:val="0042058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rsid w:val="0042058C"/>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1">
    <w:name w:val="Основной текст (2) + Курсив"/>
    <w:aliases w:val="Интервал 0 pt"/>
    <w:rsid w:val="0042058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2">
    <w:name w:val="Основной текст (2) + Малые прописные"/>
    <w:rsid w:val="0042058C"/>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4">
    <w:name w:val="Заголовок №4_"/>
    <w:link w:val="45"/>
    <w:rsid w:val="0042058C"/>
    <w:rPr>
      <w:b/>
      <w:bCs/>
      <w:shd w:val="clear" w:color="auto" w:fill="FFFFFF"/>
    </w:rPr>
  </w:style>
  <w:style w:type="paragraph" w:customStyle="1" w:styleId="45">
    <w:name w:val="Заголовок №4"/>
    <w:basedOn w:val="a7"/>
    <w:link w:val="44"/>
    <w:qFormat/>
    <w:rsid w:val="0042058C"/>
    <w:pPr>
      <w:widowControl w:val="0"/>
      <w:shd w:val="clear" w:color="auto" w:fill="FFFFFF"/>
      <w:spacing w:after="240" w:line="0" w:lineRule="atLeast"/>
      <w:ind w:hanging="440"/>
      <w:jc w:val="both"/>
      <w:outlineLvl w:val="3"/>
    </w:pPr>
    <w:rPr>
      <w:b/>
      <w:bCs/>
    </w:rPr>
  </w:style>
  <w:style w:type="character" w:customStyle="1" w:styleId="2Exact">
    <w:name w:val="Основной текст (2) Exact"/>
    <w:rsid w:val="0042058C"/>
    <w:rPr>
      <w:rFonts w:ascii="Times New Roman" w:eastAsia="Times New Roman" w:hAnsi="Times New Roman" w:cs="Times New Roman"/>
      <w:b w:val="0"/>
      <w:bCs w:val="0"/>
      <w:i w:val="0"/>
      <w:iCs w:val="0"/>
      <w:smallCaps w:val="0"/>
      <w:strike w:val="0"/>
      <w:u w:val="none"/>
    </w:rPr>
  </w:style>
  <w:style w:type="character" w:customStyle="1" w:styleId="112">
    <w:name w:val="Основной текст (11)_"/>
    <w:link w:val="113"/>
    <w:rsid w:val="0042058C"/>
    <w:rPr>
      <w:b/>
      <w:bCs/>
      <w:shd w:val="clear" w:color="auto" w:fill="FFFFFF"/>
    </w:rPr>
  </w:style>
  <w:style w:type="paragraph" w:customStyle="1" w:styleId="113">
    <w:name w:val="Основной текст (11)"/>
    <w:basedOn w:val="a7"/>
    <w:link w:val="112"/>
    <w:qFormat/>
    <w:rsid w:val="0042058C"/>
    <w:pPr>
      <w:widowControl w:val="0"/>
      <w:shd w:val="clear" w:color="auto" w:fill="FFFFFF"/>
      <w:spacing w:before="180" w:after="180" w:line="319" w:lineRule="exact"/>
      <w:ind w:hanging="400"/>
    </w:pPr>
    <w:rPr>
      <w:b/>
      <w:bCs/>
    </w:rPr>
  </w:style>
  <w:style w:type="character" w:customStyle="1" w:styleId="2105pt">
    <w:name w:val="Основной текст (2) + 10;5 pt;Полужирный"/>
    <w:rsid w:val="0042058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3">
    <w:name w:val="Основной текст (21)_"/>
    <w:link w:val="214"/>
    <w:rsid w:val="0042058C"/>
    <w:rPr>
      <w:b/>
      <w:bCs/>
      <w:sz w:val="24"/>
      <w:szCs w:val="24"/>
      <w:shd w:val="clear" w:color="auto" w:fill="FFFFFF"/>
    </w:rPr>
  </w:style>
  <w:style w:type="paragraph" w:customStyle="1" w:styleId="214">
    <w:name w:val="Основной текст (21)"/>
    <w:basedOn w:val="a7"/>
    <w:link w:val="213"/>
    <w:qFormat/>
    <w:rsid w:val="0042058C"/>
    <w:pPr>
      <w:widowControl w:val="0"/>
      <w:shd w:val="clear" w:color="auto" w:fill="FFFFFF"/>
      <w:spacing w:before="180" w:after="300" w:line="0" w:lineRule="atLeast"/>
      <w:ind w:firstLine="760"/>
      <w:jc w:val="both"/>
    </w:pPr>
    <w:rPr>
      <w:b/>
      <w:bCs/>
      <w:sz w:val="24"/>
      <w:szCs w:val="24"/>
    </w:rPr>
  </w:style>
  <w:style w:type="character" w:customStyle="1" w:styleId="8Exact">
    <w:name w:val="Основной текст (8) Exact"/>
    <w:rsid w:val="0042058C"/>
    <w:rPr>
      <w:rFonts w:ascii="Arial" w:eastAsia="Arial" w:hAnsi="Arial" w:cs="Arial"/>
      <w:b w:val="0"/>
      <w:bCs w:val="0"/>
      <w:i w:val="0"/>
      <w:iCs w:val="0"/>
      <w:smallCaps w:val="0"/>
      <w:strike w:val="0"/>
      <w:sz w:val="18"/>
      <w:szCs w:val="18"/>
      <w:u w:val="none"/>
    </w:rPr>
  </w:style>
  <w:style w:type="character" w:customStyle="1" w:styleId="82">
    <w:name w:val="Основной текст (8)_"/>
    <w:link w:val="83"/>
    <w:rsid w:val="0042058C"/>
    <w:rPr>
      <w:rFonts w:ascii="Arial" w:eastAsia="Arial" w:hAnsi="Arial" w:cs="Arial"/>
      <w:sz w:val="18"/>
      <w:szCs w:val="18"/>
      <w:shd w:val="clear" w:color="auto" w:fill="FFFFFF"/>
      <w:lang w:val="en-US" w:bidi="en-US"/>
    </w:rPr>
  </w:style>
  <w:style w:type="paragraph" w:customStyle="1" w:styleId="83">
    <w:name w:val="Основной текст (8)"/>
    <w:basedOn w:val="a7"/>
    <w:link w:val="82"/>
    <w:qFormat/>
    <w:rsid w:val="0042058C"/>
    <w:pPr>
      <w:widowControl w:val="0"/>
      <w:shd w:val="clear" w:color="auto" w:fill="FFFFFF"/>
      <w:spacing w:after="0" w:line="0" w:lineRule="atLeast"/>
    </w:pPr>
    <w:rPr>
      <w:rFonts w:ascii="Arial" w:eastAsia="Arial" w:hAnsi="Arial" w:cs="Arial"/>
      <w:sz w:val="18"/>
      <w:szCs w:val="18"/>
      <w:lang w:val="en-US" w:bidi="en-US"/>
    </w:rPr>
  </w:style>
  <w:style w:type="character" w:customStyle="1" w:styleId="29pt">
    <w:name w:val="Основной текст (2) + 9 pt"/>
    <w:rsid w:val="0042058C"/>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rsid w:val="0042058C"/>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rsid w:val="0042058C"/>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1111">
    <w:name w:val="Нет списка11111"/>
    <w:next w:val="aa"/>
    <w:uiPriority w:val="99"/>
    <w:semiHidden/>
    <w:unhideWhenUsed/>
    <w:rsid w:val="0042058C"/>
  </w:style>
  <w:style w:type="character" w:styleId="affff5">
    <w:name w:val="Placeholder Text"/>
    <w:uiPriority w:val="99"/>
    <w:semiHidden/>
    <w:rsid w:val="0042058C"/>
    <w:rPr>
      <w:color w:val="808080"/>
    </w:rPr>
  </w:style>
  <w:style w:type="paragraph" w:customStyle="1" w:styleId="FR4">
    <w:name w:val="FR4"/>
    <w:qFormat/>
    <w:rsid w:val="0042058C"/>
    <w:pPr>
      <w:widowControl w:val="0"/>
      <w:snapToGrid w:val="0"/>
      <w:spacing w:after="0" w:line="240" w:lineRule="auto"/>
      <w:jc w:val="both"/>
    </w:pPr>
    <w:rPr>
      <w:rFonts w:ascii="Times New Roman" w:eastAsia="Times New Roman" w:hAnsi="Times New Roman" w:cs="Times New Roman"/>
      <w:sz w:val="28"/>
      <w:szCs w:val="20"/>
      <w:lang w:eastAsia="ru-RU"/>
    </w:rPr>
  </w:style>
  <w:style w:type="character" w:customStyle="1" w:styleId="1fb">
    <w:name w:val="Название Знак1"/>
    <w:uiPriority w:val="10"/>
    <w:rsid w:val="0042058C"/>
    <w:rPr>
      <w:rFonts w:eastAsia="Courier New"/>
      <w:b/>
      <w:color w:val="000000"/>
      <w:sz w:val="32"/>
      <w:szCs w:val="24"/>
      <w:lang w:bidi="ru-RU"/>
    </w:rPr>
  </w:style>
  <w:style w:type="paragraph" w:customStyle="1" w:styleId="affff6">
    <w:name w:val="Нормальный (таблица)"/>
    <w:basedOn w:val="a7"/>
    <w:next w:val="a7"/>
    <w:uiPriority w:val="99"/>
    <w:rsid w:val="0042058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7">
    <w:name w:val="Прижатый влево"/>
    <w:basedOn w:val="a7"/>
    <w:next w:val="a7"/>
    <w:uiPriority w:val="99"/>
    <w:qFormat/>
    <w:rsid w:val="0042058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title">
    <w:name w:val="consplustitle"/>
    <w:basedOn w:val="a7"/>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8">
    <w:name w:val="Список_черточки"/>
    <w:basedOn w:val="2f0"/>
    <w:qFormat/>
    <w:rsid w:val="0042058C"/>
    <w:pPr>
      <w:ind w:left="1211"/>
    </w:pPr>
  </w:style>
  <w:style w:type="character" w:customStyle="1" w:styleId="searchtext">
    <w:name w:val="searchtext"/>
    <w:rsid w:val="0042058C"/>
  </w:style>
  <w:style w:type="paragraph" w:customStyle="1" w:styleId="s1">
    <w:name w:val="s_1"/>
    <w:basedOn w:val="a7"/>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7"/>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3">
    <w:name w:val="Quote"/>
    <w:basedOn w:val="a7"/>
    <w:next w:val="a7"/>
    <w:link w:val="2f4"/>
    <w:uiPriority w:val="29"/>
    <w:qFormat/>
    <w:rsid w:val="0042058C"/>
    <w:pPr>
      <w:spacing w:before="200" w:after="160" w:line="240" w:lineRule="auto"/>
      <w:ind w:left="864" w:right="864" w:firstLine="709"/>
      <w:jc w:val="center"/>
    </w:pPr>
    <w:rPr>
      <w:rFonts w:ascii="Times New Roman" w:eastAsia="Calibri" w:hAnsi="Times New Roman" w:cs="Times New Roman"/>
      <w:i/>
      <w:iCs/>
      <w:color w:val="404040"/>
      <w:sz w:val="28"/>
    </w:rPr>
  </w:style>
  <w:style w:type="character" w:customStyle="1" w:styleId="2f4">
    <w:name w:val="Цитата 2 Знак"/>
    <w:basedOn w:val="a8"/>
    <w:link w:val="2f3"/>
    <w:uiPriority w:val="29"/>
    <w:rsid w:val="0042058C"/>
    <w:rPr>
      <w:rFonts w:ascii="Times New Roman" w:eastAsia="Calibri" w:hAnsi="Times New Roman" w:cs="Times New Roman"/>
      <w:i/>
      <w:iCs/>
      <w:color w:val="404040"/>
      <w:sz w:val="28"/>
    </w:rPr>
  </w:style>
  <w:style w:type="character" w:customStyle="1" w:styleId="fontstyle21">
    <w:name w:val="fontstyle21"/>
    <w:rsid w:val="0042058C"/>
    <w:rPr>
      <w:rFonts w:ascii="SymbolMT" w:hAnsi="SymbolMT" w:hint="default"/>
      <w:b w:val="0"/>
      <w:bCs w:val="0"/>
      <w:i w:val="0"/>
      <w:iCs w:val="0"/>
      <w:color w:val="000000"/>
      <w:sz w:val="24"/>
      <w:szCs w:val="24"/>
    </w:rPr>
  </w:style>
  <w:style w:type="numbering" w:customStyle="1" w:styleId="111111">
    <w:name w:val="Нет списка111111"/>
    <w:next w:val="aa"/>
    <w:uiPriority w:val="99"/>
    <w:semiHidden/>
    <w:unhideWhenUsed/>
    <w:rsid w:val="0042058C"/>
  </w:style>
  <w:style w:type="numbering" w:customStyle="1" w:styleId="2f5">
    <w:name w:val="Нет списка2"/>
    <w:next w:val="aa"/>
    <w:semiHidden/>
    <w:unhideWhenUsed/>
    <w:rsid w:val="0042058C"/>
  </w:style>
  <w:style w:type="numbering" w:customStyle="1" w:styleId="121">
    <w:name w:val="Нет списка12"/>
    <w:next w:val="aa"/>
    <w:uiPriority w:val="99"/>
    <w:semiHidden/>
    <w:unhideWhenUsed/>
    <w:rsid w:val="0042058C"/>
  </w:style>
  <w:style w:type="character" w:customStyle="1" w:styleId="nobr">
    <w:name w:val="nobr"/>
    <w:rsid w:val="0042058C"/>
  </w:style>
  <w:style w:type="character" w:customStyle="1" w:styleId="blk">
    <w:name w:val="blk"/>
    <w:rsid w:val="0042058C"/>
  </w:style>
  <w:style w:type="paragraph" w:customStyle="1" w:styleId="affff9">
    <w:name w:val="Табличный_заголовки"/>
    <w:basedOn w:val="a7"/>
    <w:qFormat/>
    <w:rsid w:val="0042058C"/>
    <w:pPr>
      <w:keepNext/>
      <w:keepLines/>
      <w:spacing w:after="0" w:line="240" w:lineRule="auto"/>
      <w:jc w:val="center"/>
    </w:pPr>
    <w:rPr>
      <w:rFonts w:ascii="Times New Roman" w:eastAsia="Times New Roman" w:hAnsi="Times New Roman" w:cs="Times New Roman"/>
      <w:b/>
      <w:lang w:eastAsia="ru-RU"/>
    </w:rPr>
  </w:style>
  <w:style w:type="character" w:customStyle="1" w:styleId="BodyTextChar1">
    <w:name w:val="Body Text Char1"/>
    <w:uiPriority w:val="99"/>
    <w:semiHidden/>
    <w:rsid w:val="0042058C"/>
    <w:rPr>
      <w:rFonts w:ascii="Times New Roman" w:eastAsia="Times New Roman" w:hAnsi="Times New Roman" w:cs="Times New Roman"/>
      <w:sz w:val="28"/>
    </w:rPr>
  </w:style>
  <w:style w:type="paragraph" w:customStyle="1" w:styleId="affffa">
    <w:name w:val="Основной_текст"/>
    <w:basedOn w:val="a7"/>
    <w:link w:val="affffb"/>
    <w:qFormat/>
    <w:rsid w:val="0042058C"/>
    <w:pPr>
      <w:spacing w:after="0" w:line="240" w:lineRule="auto"/>
      <w:ind w:firstLine="709"/>
      <w:jc w:val="both"/>
    </w:pPr>
    <w:rPr>
      <w:rFonts w:ascii="Times New Roman" w:eastAsia="Calibri" w:hAnsi="Times New Roman" w:cs="Times New Roman"/>
      <w:sz w:val="28"/>
      <w:szCs w:val="28"/>
      <w:lang w:eastAsia="ru-RU"/>
    </w:rPr>
  </w:style>
  <w:style w:type="character" w:customStyle="1" w:styleId="affffb">
    <w:name w:val="Основной_текст Знак"/>
    <w:link w:val="affffa"/>
    <w:rsid w:val="0042058C"/>
    <w:rPr>
      <w:rFonts w:ascii="Times New Roman" w:eastAsia="Calibri" w:hAnsi="Times New Roman" w:cs="Times New Roman"/>
      <w:sz w:val="28"/>
      <w:szCs w:val="28"/>
      <w:lang w:eastAsia="ru-RU"/>
    </w:rPr>
  </w:style>
  <w:style w:type="table" w:customStyle="1" w:styleId="84">
    <w:name w:val="Сетка таблицы8"/>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9"/>
    <w:next w:val="af6"/>
    <w:uiPriority w:val="5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
    <w:rsid w:val="0042058C"/>
    <w:pPr>
      <w:numPr>
        <w:numId w:val="40"/>
      </w:numPr>
    </w:pPr>
  </w:style>
  <w:style w:type="numbering" w:customStyle="1" w:styleId="21">
    <w:name w:val="Стиль2"/>
    <w:uiPriority w:val="99"/>
    <w:rsid w:val="0042058C"/>
    <w:pPr>
      <w:numPr>
        <w:numId w:val="41"/>
      </w:numPr>
    </w:pPr>
  </w:style>
  <w:style w:type="paragraph" w:customStyle="1" w:styleId="affffc">
    <w:name w:val="Подзаголовок для информации об изменениях"/>
    <w:basedOn w:val="a7"/>
    <w:next w:val="a7"/>
    <w:uiPriority w:val="99"/>
    <w:qFormat/>
    <w:rsid w:val="0042058C"/>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table" w:customStyle="1" w:styleId="2f6">
    <w:name w:val="Сетка таблицы2"/>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9"/>
    <w:next w:val="af6"/>
    <w:uiPriority w:val="5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_ОБЫЧНЫЙ"/>
    <w:basedOn w:val="a7"/>
    <w:uiPriority w:val="99"/>
    <w:qFormat/>
    <w:rsid w:val="0042058C"/>
    <w:pPr>
      <w:widowControl w:val="0"/>
      <w:tabs>
        <w:tab w:val="left" w:pos="1134"/>
      </w:tabs>
      <w:suppressAutoHyphens/>
      <w:spacing w:after="0" w:line="360" w:lineRule="auto"/>
      <w:ind w:firstLine="709"/>
      <w:jc w:val="both"/>
    </w:pPr>
    <w:rPr>
      <w:rFonts w:ascii="Times New Roman" w:eastAsia="Times New Roman" w:hAnsi="Times New Roman" w:cs="Calibri"/>
      <w:sz w:val="28"/>
      <w:szCs w:val="20"/>
      <w:lang w:eastAsia="ar-SA"/>
    </w:rPr>
  </w:style>
  <w:style w:type="paragraph" w:customStyle="1" w:styleId="140">
    <w:name w:val="Основной текст 14"/>
    <w:basedOn w:val="aff9"/>
    <w:link w:val="141"/>
    <w:qFormat/>
    <w:rsid w:val="0042058C"/>
  </w:style>
  <w:style w:type="character" w:customStyle="1" w:styleId="141">
    <w:name w:val="Основной текст 14 Знак"/>
    <w:link w:val="140"/>
    <w:locked/>
    <w:rsid w:val="0042058C"/>
    <w:rPr>
      <w:rFonts w:ascii="Calibri" w:eastAsia="Calibri" w:hAnsi="Calibri" w:cs="Times New Roman"/>
    </w:rPr>
  </w:style>
  <w:style w:type="character" w:customStyle="1" w:styleId="1fc">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42058C"/>
    <w:rPr>
      <w:rFonts w:ascii="Times New Roman" w:eastAsia="Times New Roman" w:hAnsi="Times New Roman" w:cs="Times New Roman"/>
      <w:sz w:val="28"/>
    </w:rPr>
  </w:style>
  <w:style w:type="paragraph" w:customStyle="1" w:styleId="affffe">
    <w:name w:val="Название таблицы"/>
    <w:basedOn w:val="a7"/>
    <w:qFormat/>
    <w:rsid w:val="0042058C"/>
    <w:pPr>
      <w:widowControl w:val="0"/>
      <w:spacing w:before="120" w:after="120" w:line="240" w:lineRule="auto"/>
      <w:jc w:val="center"/>
    </w:pPr>
    <w:rPr>
      <w:rFonts w:ascii="Times New Roman" w:eastAsia="Times New Roman" w:hAnsi="Times New Roman" w:cs="Times New Roman"/>
      <w:bCs/>
      <w:color w:val="00000A"/>
      <w:sz w:val="28"/>
      <w:lang w:eastAsia="ru-RU"/>
    </w:rPr>
  </w:style>
  <w:style w:type="paragraph" w:customStyle="1" w:styleId="afffff">
    <w:name w:val="список_черточки"/>
    <w:basedOn w:val="af3"/>
    <w:qFormat/>
    <w:rsid w:val="0042058C"/>
    <w:pPr>
      <w:tabs>
        <w:tab w:val="left" w:pos="709"/>
        <w:tab w:val="left" w:pos="851"/>
      </w:tabs>
      <w:spacing w:before="0" w:after="0"/>
      <w:ind w:firstLine="709"/>
    </w:pPr>
    <w:rPr>
      <w:color w:val="00000A"/>
      <w:sz w:val="28"/>
    </w:rPr>
  </w:style>
  <w:style w:type="paragraph" w:customStyle="1" w:styleId="afffff0">
    <w:name w:val="Основной текст ПЗ"/>
    <w:basedOn w:val="a7"/>
    <w:qFormat/>
    <w:rsid w:val="0042058C"/>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a6">
    <w:name w:val="Обычный_список"/>
    <w:basedOn w:val="a7"/>
    <w:uiPriority w:val="99"/>
    <w:qFormat/>
    <w:rsid w:val="0042058C"/>
    <w:pPr>
      <w:numPr>
        <w:numId w:val="42"/>
      </w:numPr>
      <w:spacing w:after="0" w:line="240" w:lineRule="auto"/>
      <w:jc w:val="both"/>
    </w:pPr>
    <w:rPr>
      <w:rFonts w:ascii="Times New Roman" w:eastAsia="Times New Roman" w:hAnsi="Times New Roman" w:cs="Times New Roman"/>
      <w:sz w:val="28"/>
      <w:szCs w:val="24"/>
      <w:lang w:eastAsia="ru-RU"/>
    </w:rPr>
  </w:style>
  <w:style w:type="table" w:customStyle="1" w:styleId="TableGridReport110">
    <w:name w:val="Table Grid Report110"/>
    <w:basedOn w:val="a9"/>
    <w:next w:val="af6"/>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8">
    <w:name w:val="Table Grid Report28"/>
    <w:basedOn w:val="a9"/>
    <w:next w:val="af6"/>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2">
    <w:name w:val="Table Grid Report32"/>
    <w:basedOn w:val="a9"/>
    <w:next w:val="af6"/>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42058C"/>
    <w:pPr>
      <w:numPr>
        <w:numId w:val="43"/>
      </w:numPr>
    </w:pPr>
  </w:style>
  <w:style w:type="numbering" w:customStyle="1" w:styleId="3a">
    <w:name w:val="Нет списка3"/>
    <w:next w:val="aa"/>
    <w:uiPriority w:val="99"/>
    <w:semiHidden/>
    <w:unhideWhenUsed/>
    <w:rsid w:val="0042058C"/>
  </w:style>
  <w:style w:type="paragraph" w:customStyle="1" w:styleId="msonormal0">
    <w:name w:val="msonormal"/>
    <w:basedOn w:val="a7"/>
    <w:uiPriority w:val="99"/>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0">
    <w:name w:val="Основной текст (2) + 11"/>
    <w:aliases w:val="5 pt"/>
    <w:rsid w:val="0042058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2058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9"/>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uiPriority w:val="5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9"/>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9"/>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1">
    <w:name w:val="Table Grid Report211"/>
    <w:basedOn w:val="a9"/>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1">
    <w:name w:val="Table Grid Report311"/>
    <w:basedOn w:val="a9"/>
    <w:uiPriority w:val="39"/>
    <w:rsid w:val="0042058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42058C"/>
  </w:style>
  <w:style w:type="numbering" w:customStyle="1" w:styleId="216">
    <w:name w:val="Стиль21"/>
    <w:uiPriority w:val="99"/>
    <w:rsid w:val="0042058C"/>
  </w:style>
  <w:style w:type="numbering" w:customStyle="1" w:styleId="11">
    <w:name w:val="Стиль11"/>
    <w:rsid w:val="0042058C"/>
    <w:pPr>
      <w:numPr>
        <w:numId w:val="64"/>
      </w:numPr>
    </w:pPr>
  </w:style>
  <w:style w:type="paragraph" w:customStyle="1" w:styleId="afffff1">
    <w:name w:val="таличный_заголовок"/>
    <w:basedOn w:val="afff1"/>
    <w:qFormat/>
    <w:rsid w:val="0042058C"/>
    <w:pPr>
      <w:jc w:val="center"/>
    </w:pPr>
  </w:style>
  <w:style w:type="character" w:styleId="afffff2">
    <w:name w:val="Emphasis"/>
    <w:qFormat/>
    <w:rsid w:val="0042058C"/>
    <w:rPr>
      <w:i/>
      <w:iCs/>
    </w:rPr>
  </w:style>
  <w:style w:type="character" w:customStyle="1" w:styleId="fontstyle01">
    <w:name w:val="fontstyle01"/>
    <w:rsid w:val="0042058C"/>
    <w:rPr>
      <w:rFonts w:ascii="Arial" w:hAnsi="Arial" w:cs="Arial" w:hint="default"/>
      <w:b w:val="0"/>
      <w:bCs w:val="0"/>
      <w:i w:val="0"/>
      <w:iCs w:val="0"/>
      <w:color w:val="000000"/>
      <w:sz w:val="24"/>
      <w:szCs w:val="24"/>
    </w:rPr>
  </w:style>
  <w:style w:type="paragraph" w:customStyle="1" w:styleId="OTCHET00">
    <w:name w:val="OTCHET_00"/>
    <w:basedOn w:val="20"/>
    <w:uiPriority w:val="99"/>
    <w:rsid w:val="0042058C"/>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7"/>
    <w:uiPriority w:val="99"/>
    <w:unhideWhenUsed/>
    <w:rsid w:val="0042058C"/>
    <w:pPr>
      <w:numPr>
        <w:numId w:val="44"/>
      </w:numPr>
      <w:spacing w:after="0" w:line="240" w:lineRule="auto"/>
      <w:contextualSpacing/>
      <w:jc w:val="both"/>
    </w:pPr>
    <w:rPr>
      <w:rFonts w:ascii="Times New Roman" w:eastAsia="Times New Roman" w:hAnsi="Times New Roman" w:cs="Times New Roman"/>
      <w:sz w:val="28"/>
    </w:rPr>
  </w:style>
  <w:style w:type="paragraph" w:customStyle="1" w:styleId="afffff3">
    <w:name w:val="основной текст"/>
    <w:basedOn w:val="a7"/>
    <w:rsid w:val="0042058C"/>
    <w:pPr>
      <w:spacing w:after="120" w:line="240" w:lineRule="auto"/>
      <w:ind w:firstLine="851"/>
      <w:jc w:val="both"/>
    </w:pPr>
    <w:rPr>
      <w:rFonts w:ascii="Arial" w:eastAsia="Times New Roman" w:hAnsi="Arial" w:cs="Times New Roman"/>
      <w:sz w:val="28"/>
      <w:szCs w:val="20"/>
      <w:lang w:eastAsia="ru-RU"/>
    </w:rPr>
  </w:style>
  <w:style w:type="paragraph" w:customStyle="1" w:styleId="afffff4">
    <w:name w:val="таблица"/>
    <w:basedOn w:val="aff1"/>
    <w:rsid w:val="0042058C"/>
    <w:pPr>
      <w:tabs>
        <w:tab w:val="clear" w:pos="4677"/>
        <w:tab w:val="clear" w:pos="9355"/>
      </w:tabs>
      <w:jc w:val="center"/>
    </w:pPr>
    <w:rPr>
      <w:rFonts w:ascii="NTTimes/Cyrillic" w:eastAsia="Times New Roman" w:hAnsi="NTTimes/Cyrillic" w:cs="Times New Roman"/>
      <w:szCs w:val="20"/>
      <w:lang w:eastAsia="ru-RU"/>
    </w:rPr>
  </w:style>
  <w:style w:type="paragraph" w:customStyle="1" w:styleId="01">
    <w:name w:val="0.Текст"/>
    <w:basedOn w:val="a7"/>
    <w:link w:val="02"/>
    <w:qFormat/>
    <w:rsid w:val="0042058C"/>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42058C"/>
    <w:rPr>
      <w:rFonts w:ascii="Arial" w:eastAsia="Times New Roman" w:hAnsi="Arial" w:cs="Arial"/>
      <w:sz w:val="24"/>
      <w:szCs w:val="28"/>
    </w:rPr>
  </w:style>
  <w:style w:type="numbering" w:customStyle="1" w:styleId="47">
    <w:name w:val="Нет списка4"/>
    <w:next w:val="aa"/>
    <w:uiPriority w:val="99"/>
    <w:semiHidden/>
    <w:unhideWhenUsed/>
    <w:rsid w:val="0042058C"/>
  </w:style>
  <w:style w:type="paragraph" w:customStyle="1" w:styleId="xl67">
    <w:name w:val="xl6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8"/>
      <w:szCs w:val="28"/>
      <w:lang w:eastAsia="ru-RU"/>
    </w:rPr>
  </w:style>
  <w:style w:type="paragraph" w:customStyle="1" w:styleId="xl68">
    <w:name w:val="xl6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8"/>
      <w:szCs w:val="28"/>
      <w:lang w:eastAsia="ru-RU"/>
    </w:rPr>
  </w:style>
  <w:style w:type="character" w:customStyle="1" w:styleId="FontStyle11">
    <w:name w:val="Font Style11"/>
    <w:rsid w:val="0042058C"/>
    <w:rPr>
      <w:rFonts w:ascii="Times New Roman" w:hAnsi="Times New Roman" w:cs="Times New Roman"/>
      <w:sz w:val="26"/>
      <w:szCs w:val="26"/>
    </w:rPr>
  </w:style>
  <w:style w:type="paragraph" w:customStyle="1" w:styleId="xl63">
    <w:name w:val="xl6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7"/>
    <w:rsid w:val="0042058C"/>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7"/>
    <w:rsid w:val="0042058C"/>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6">
    <w:name w:val="xl66"/>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9">
    <w:name w:val="xl69"/>
    <w:basedOn w:val="a7"/>
    <w:rsid w:val="0042058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0">
    <w:name w:val="xl70"/>
    <w:basedOn w:val="a7"/>
    <w:rsid w:val="0042058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1">
    <w:name w:val="xl71"/>
    <w:basedOn w:val="a7"/>
    <w:rsid w:val="0042058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7"/>
    <w:rsid w:val="0042058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Style9">
    <w:name w:val="Style9"/>
    <w:basedOn w:val="a7"/>
    <w:uiPriority w:val="99"/>
    <w:rsid w:val="0042058C"/>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42058C"/>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character" w:customStyle="1" w:styleId="FontStyle210">
    <w:name w:val="Font Style21"/>
    <w:rsid w:val="0042058C"/>
    <w:rPr>
      <w:rFonts w:ascii="Times New Roman" w:hAnsi="Times New Roman" w:cs="Times New Roman"/>
      <w:sz w:val="26"/>
      <w:szCs w:val="26"/>
    </w:rPr>
  </w:style>
  <w:style w:type="table" w:customStyle="1" w:styleId="92">
    <w:name w:val="Сетка таблицы9"/>
    <w:basedOn w:val="a9"/>
    <w:next w:val="af6"/>
    <w:uiPriority w:val="39"/>
    <w:rsid w:val="0042058C"/>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9"/>
    <w:next w:val="af6"/>
    <w:uiPriority w:val="59"/>
    <w:rsid w:val="0042058C"/>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Сноска"/>
    <w:basedOn w:val="aff4"/>
    <w:link w:val="afffff6"/>
    <w:qFormat/>
    <w:rsid w:val="0042058C"/>
    <w:pPr>
      <w:ind w:firstLine="0"/>
      <w:jc w:val="left"/>
    </w:pPr>
    <w:rPr>
      <w:rFonts w:ascii="Arial" w:eastAsia="Calibri" w:hAnsi="Arial" w:cs="Arial"/>
    </w:rPr>
  </w:style>
  <w:style w:type="paragraph" w:customStyle="1" w:styleId="afffff7">
    <w:name w:val="Шапка табл"/>
    <w:basedOn w:val="a7"/>
    <w:link w:val="afffff8"/>
    <w:qFormat/>
    <w:rsid w:val="0042058C"/>
    <w:pPr>
      <w:spacing w:before="60" w:after="120" w:line="360" w:lineRule="auto"/>
      <w:jc w:val="both"/>
    </w:pPr>
    <w:rPr>
      <w:rFonts w:ascii="Arial" w:eastAsia="Times New Roman" w:hAnsi="Arial" w:cs="Arial"/>
      <w:color w:val="000000"/>
      <w:sz w:val="16"/>
      <w:szCs w:val="20"/>
      <w:lang w:eastAsia="ru-RU"/>
    </w:rPr>
  </w:style>
  <w:style w:type="character" w:customStyle="1" w:styleId="afffff6">
    <w:name w:val="Сноска Знак"/>
    <w:link w:val="afffff5"/>
    <w:rsid w:val="0042058C"/>
    <w:rPr>
      <w:rFonts w:ascii="Arial" w:eastAsia="Calibri" w:hAnsi="Arial" w:cs="Arial"/>
      <w:sz w:val="20"/>
      <w:szCs w:val="20"/>
    </w:rPr>
  </w:style>
  <w:style w:type="character" w:customStyle="1" w:styleId="afffff8">
    <w:name w:val="Шапка табл Знак"/>
    <w:link w:val="afffff7"/>
    <w:rsid w:val="0042058C"/>
    <w:rPr>
      <w:rFonts w:ascii="Arial" w:eastAsia="Times New Roman" w:hAnsi="Arial" w:cs="Arial"/>
      <w:color w:val="000000"/>
      <w:sz w:val="16"/>
      <w:szCs w:val="20"/>
      <w:lang w:eastAsia="ru-RU"/>
    </w:rPr>
  </w:style>
  <w:style w:type="paragraph" w:customStyle="1" w:styleId="afffff9">
    <w:name w:val="Строка табл"/>
    <w:basedOn w:val="a7"/>
    <w:link w:val="afffffa"/>
    <w:qFormat/>
    <w:rsid w:val="0042058C"/>
    <w:pPr>
      <w:spacing w:before="60" w:after="120" w:line="360" w:lineRule="auto"/>
      <w:ind w:left="-113"/>
    </w:pPr>
    <w:rPr>
      <w:rFonts w:ascii="Arial" w:eastAsia="Times New Roman" w:hAnsi="Arial" w:cs="Arial"/>
      <w:color w:val="000000"/>
      <w:sz w:val="20"/>
      <w:szCs w:val="20"/>
      <w:lang w:eastAsia="ru-RU"/>
    </w:rPr>
  </w:style>
  <w:style w:type="character" w:customStyle="1" w:styleId="afffffa">
    <w:name w:val="Строка табл Знак"/>
    <w:link w:val="afffff9"/>
    <w:rsid w:val="0042058C"/>
    <w:rPr>
      <w:rFonts w:ascii="Arial" w:eastAsia="Times New Roman" w:hAnsi="Arial" w:cs="Arial"/>
      <w:color w:val="000000"/>
      <w:sz w:val="20"/>
      <w:szCs w:val="20"/>
      <w:lang w:eastAsia="ru-RU"/>
    </w:rPr>
  </w:style>
  <w:style w:type="paragraph" w:customStyle="1" w:styleId="Style101">
    <w:name w:val="Style101"/>
    <w:basedOn w:val="a7"/>
    <w:rsid w:val="0042058C"/>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7"/>
    <w:uiPriority w:val="99"/>
    <w:rsid w:val="0042058C"/>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42058C"/>
    <w:rPr>
      <w:rFonts w:ascii="Times New Roman" w:hAnsi="Times New Roman" w:cs="Times New Roman"/>
      <w:sz w:val="24"/>
      <w:szCs w:val="24"/>
    </w:rPr>
  </w:style>
  <w:style w:type="character" w:customStyle="1" w:styleId="FontStyle152">
    <w:name w:val="Font Style152"/>
    <w:rsid w:val="0042058C"/>
    <w:rPr>
      <w:rFonts w:ascii="Times New Roman" w:hAnsi="Times New Roman" w:cs="Times New Roman"/>
      <w:sz w:val="20"/>
      <w:szCs w:val="20"/>
    </w:rPr>
  </w:style>
  <w:style w:type="paragraph" w:customStyle="1" w:styleId="afffffb">
    <w:name w:val="a"/>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7"/>
    <w:link w:val="HTML0"/>
    <w:rsid w:val="00420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rsid w:val="0042058C"/>
    <w:rPr>
      <w:rFonts w:ascii="Courier New" w:eastAsia="Times New Roman" w:hAnsi="Courier New" w:cs="Courier New"/>
      <w:sz w:val="20"/>
      <w:szCs w:val="20"/>
      <w:lang w:eastAsia="ru-RU"/>
    </w:rPr>
  </w:style>
  <w:style w:type="paragraph" w:customStyle="1" w:styleId="TableParagraph">
    <w:name w:val="Table Paragraph"/>
    <w:basedOn w:val="a7"/>
    <w:uiPriority w:val="1"/>
    <w:qFormat/>
    <w:rsid w:val="0042058C"/>
    <w:pPr>
      <w:widowControl w:val="0"/>
      <w:autoSpaceDE w:val="0"/>
      <w:autoSpaceDN w:val="0"/>
      <w:spacing w:after="0" w:line="240" w:lineRule="auto"/>
    </w:pPr>
    <w:rPr>
      <w:rFonts w:ascii="Arial Narrow" w:eastAsia="Arial Narrow" w:hAnsi="Arial Narrow" w:cs="Arial Narrow"/>
    </w:rPr>
  </w:style>
  <w:style w:type="numbering" w:customStyle="1" w:styleId="a">
    <w:name w:val="С числами"/>
    <w:rsid w:val="0042058C"/>
    <w:pPr>
      <w:numPr>
        <w:numId w:val="46"/>
      </w:numPr>
    </w:pPr>
  </w:style>
  <w:style w:type="paragraph" w:customStyle="1" w:styleId="a0">
    <w:name w:val="текст статьи"/>
    <w:basedOn w:val="a7"/>
    <w:uiPriority w:val="99"/>
    <w:qFormat/>
    <w:rsid w:val="0042058C"/>
    <w:pPr>
      <w:numPr>
        <w:numId w:val="47"/>
      </w:numPr>
      <w:pBdr>
        <w:top w:val="nil"/>
        <w:left w:val="nil"/>
        <w:bottom w:val="nil"/>
        <w:right w:val="nil"/>
        <w:between w:val="nil"/>
        <w:bar w:val="nil"/>
      </w:pBdr>
      <w:spacing w:after="0"/>
      <w:jc w:val="both"/>
    </w:pPr>
    <w:rPr>
      <w:rFonts w:ascii="Helvetica Neue Light" w:eastAsia="Helvetica Neue Light" w:hAnsi="Helvetica Neue Light" w:cs="Helvetica Neue Light"/>
      <w:bCs/>
      <w:color w:val="000000"/>
      <w:sz w:val="24"/>
      <w:szCs w:val="24"/>
      <w:bdr w:val="nil"/>
      <w:lang w:eastAsia="ru-RU"/>
    </w:rPr>
  </w:style>
  <w:style w:type="paragraph" w:customStyle="1" w:styleId="2f7">
    <w:name w:val="Стиль таблицы 2"/>
    <w:rsid w:val="0042058C"/>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afffffc">
    <w:name w:val="Таблица"/>
    <w:basedOn w:val="a7"/>
    <w:link w:val="afffffd"/>
    <w:qFormat/>
    <w:rsid w:val="0042058C"/>
    <w:pPr>
      <w:widowControl w:val="0"/>
      <w:spacing w:before="60" w:after="60"/>
      <w:jc w:val="both"/>
    </w:pPr>
    <w:rPr>
      <w:rFonts w:ascii="Arial" w:eastAsia="Calibri" w:hAnsi="Arial" w:cs="Times New Roman"/>
      <w:sz w:val="20"/>
      <w:lang w:val="en-US"/>
    </w:rPr>
  </w:style>
  <w:style w:type="character" w:customStyle="1" w:styleId="afffffd">
    <w:name w:val="Таблица Знак"/>
    <w:link w:val="afffffc"/>
    <w:rsid w:val="0042058C"/>
    <w:rPr>
      <w:rFonts w:ascii="Arial" w:eastAsia="Calibri" w:hAnsi="Arial" w:cs="Times New Roman"/>
      <w:sz w:val="20"/>
      <w:lang w:val="en-US"/>
    </w:rPr>
  </w:style>
  <w:style w:type="paragraph" w:customStyle="1" w:styleId="afffffe">
    <w:name w:val="ВРИ"/>
    <w:basedOn w:val="a7"/>
    <w:link w:val="affffff"/>
    <w:qFormat/>
    <w:rsid w:val="0042058C"/>
    <w:pPr>
      <w:widowControl w:val="0"/>
      <w:autoSpaceDE w:val="0"/>
      <w:autoSpaceDN w:val="0"/>
      <w:adjustRightInd w:val="0"/>
      <w:spacing w:after="0" w:line="240" w:lineRule="auto"/>
      <w:jc w:val="both"/>
    </w:pPr>
    <w:rPr>
      <w:rFonts w:ascii="Arial" w:eastAsia="Calibri" w:hAnsi="Arial" w:cs="Times New Roman"/>
    </w:rPr>
  </w:style>
  <w:style w:type="character" w:customStyle="1" w:styleId="affffff">
    <w:name w:val="ВРИ Знак"/>
    <w:link w:val="afffffe"/>
    <w:rsid w:val="0042058C"/>
    <w:rPr>
      <w:rFonts w:ascii="Arial" w:eastAsia="Calibri" w:hAnsi="Arial" w:cs="Times New Roman"/>
    </w:rPr>
  </w:style>
  <w:style w:type="table" w:customStyle="1" w:styleId="1fd">
    <w:name w:val="_Таблица1"/>
    <w:basedOn w:val="a9"/>
    <w:rsid w:val="0042058C"/>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character" w:customStyle="1" w:styleId="24pt">
    <w:name w:val="Основной текст (2) + 4 pt;Не полужирный"/>
    <w:rsid w:val="0042058C"/>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table" w:customStyle="1" w:styleId="TableGridReport51">
    <w:name w:val="Table Grid Report5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_Таблица обычный1 +"/>
    <w:basedOn w:val="a7"/>
    <w:rsid w:val="0042058C"/>
    <w:pPr>
      <w:widowControl w:val="0"/>
      <w:autoSpaceDE w:val="0"/>
      <w:autoSpaceDN w:val="0"/>
      <w:adjustRightInd w:val="0"/>
      <w:spacing w:after="0" w:line="240" w:lineRule="auto"/>
      <w:jc w:val="center"/>
    </w:pPr>
    <w:rPr>
      <w:rFonts w:ascii="Arial" w:eastAsia="Times New Roman" w:hAnsi="Arial" w:cs="Times New Roman"/>
      <w:sz w:val="20"/>
      <w:szCs w:val="20"/>
      <w:lang w:eastAsia="ru-RU"/>
    </w:rPr>
  </w:style>
  <w:style w:type="paragraph" w:customStyle="1" w:styleId="1ff">
    <w:name w:val="_Таблица обычный1 &lt;"/>
    <w:basedOn w:val="a7"/>
    <w:rsid w:val="0042058C"/>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ff0">
    <w:name w:val="_Таблица заголовок1"/>
    <w:basedOn w:val="1ff"/>
    <w:rsid w:val="0042058C"/>
    <w:pPr>
      <w:keepNext/>
      <w:jc w:val="center"/>
    </w:pPr>
    <w:rPr>
      <w:b/>
    </w:rPr>
  </w:style>
  <w:style w:type="character" w:customStyle="1" w:styleId="affffff0">
    <w:name w:val="Основной текст_"/>
    <w:link w:val="53"/>
    <w:rsid w:val="0042058C"/>
    <w:rPr>
      <w:sz w:val="27"/>
      <w:szCs w:val="27"/>
      <w:shd w:val="clear" w:color="auto" w:fill="FFFFFF"/>
    </w:rPr>
  </w:style>
  <w:style w:type="paragraph" w:customStyle="1" w:styleId="53">
    <w:name w:val="Основной текст5"/>
    <w:basedOn w:val="a7"/>
    <w:link w:val="affffff0"/>
    <w:rsid w:val="0042058C"/>
    <w:pPr>
      <w:widowControl w:val="0"/>
      <w:shd w:val="clear" w:color="auto" w:fill="FFFFFF"/>
      <w:spacing w:after="3900" w:line="235" w:lineRule="exact"/>
      <w:ind w:hanging="1980"/>
      <w:jc w:val="both"/>
    </w:pPr>
    <w:rPr>
      <w:sz w:val="27"/>
      <w:szCs w:val="27"/>
    </w:rPr>
  </w:style>
  <w:style w:type="character" w:customStyle="1" w:styleId="2f8">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uiPriority w:val="99"/>
    <w:locked/>
    <w:rsid w:val="0042058C"/>
    <w:rPr>
      <w:rFonts w:ascii="Times New Roman" w:eastAsia="Times New Roman" w:hAnsi="Times New Roman" w:cs="Times New Roman"/>
      <w:sz w:val="24"/>
      <w:szCs w:val="24"/>
      <w:lang w:eastAsia="ru-RU"/>
    </w:rPr>
  </w:style>
  <w:style w:type="character" w:customStyle="1" w:styleId="3b">
    <w:name w:val="Основной текст3"/>
    <w:rsid w:val="0042058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affffff1">
    <w:name w:val="Для ГП"/>
    <w:link w:val="affffff2"/>
    <w:autoRedefine/>
    <w:qFormat/>
    <w:rsid w:val="0042058C"/>
    <w:pPr>
      <w:spacing w:after="0"/>
      <w:ind w:firstLine="709"/>
      <w:jc w:val="both"/>
    </w:pPr>
    <w:rPr>
      <w:rFonts w:ascii="Arial" w:eastAsia="Times New Roman" w:hAnsi="Arial" w:cs="Times New Roman"/>
      <w:sz w:val="24"/>
      <w:szCs w:val="24"/>
    </w:rPr>
  </w:style>
  <w:style w:type="character" w:customStyle="1" w:styleId="affffff2">
    <w:name w:val="Для ГП Знак"/>
    <w:link w:val="affffff1"/>
    <w:rsid w:val="0042058C"/>
    <w:rPr>
      <w:rFonts w:ascii="Arial" w:eastAsia="Times New Roman" w:hAnsi="Arial" w:cs="Times New Roman"/>
      <w:sz w:val="24"/>
      <w:szCs w:val="24"/>
    </w:rPr>
  </w:style>
  <w:style w:type="table" w:customStyle="1" w:styleId="TableGridReport72">
    <w:name w:val="Table Grid Report72"/>
    <w:basedOn w:val="a9"/>
    <w:next w:val="af6"/>
    <w:uiPriority w:val="39"/>
    <w:rsid w:val="004205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Обычный2"/>
    <w:uiPriority w:val="99"/>
    <w:rsid w:val="0042058C"/>
    <w:pPr>
      <w:snapToGrid w:val="0"/>
      <w:spacing w:after="0" w:line="240" w:lineRule="auto"/>
    </w:pPr>
    <w:rPr>
      <w:rFonts w:ascii="Times New Roman" w:eastAsia="Times New Roman" w:hAnsi="Times New Roman" w:cs="Times New Roman"/>
      <w:szCs w:val="20"/>
      <w:lang w:eastAsia="ru-RU"/>
    </w:rPr>
  </w:style>
  <w:style w:type="paragraph" w:customStyle="1" w:styleId="a3">
    <w:name w:val="Список нумерованный"/>
    <w:basedOn w:val="a7"/>
    <w:uiPriority w:val="99"/>
    <w:rsid w:val="0042058C"/>
    <w:pPr>
      <w:numPr>
        <w:numId w:val="62"/>
      </w:numPr>
      <w:tabs>
        <w:tab w:val="num" w:pos="360"/>
      </w:tabs>
      <w:spacing w:before="120" w:after="0" w:line="240" w:lineRule="auto"/>
      <w:ind w:left="0" w:firstLine="0"/>
      <w:jc w:val="both"/>
    </w:pPr>
    <w:rPr>
      <w:rFonts w:ascii="Times New Roman" w:eastAsia="Times New Roman" w:hAnsi="Times New Roman" w:cs="Times New Roman"/>
      <w:sz w:val="24"/>
      <w:szCs w:val="24"/>
      <w:lang w:eastAsia="ru-RU"/>
    </w:rPr>
  </w:style>
  <w:style w:type="paragraph" w:customStyle="1" w:styleId="affffff3">
    <w:name w:val="Табличный"/>
    <w:basedOn w:val="a7"/>
    <w:rsid w:val="0042058C"/>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4">
    <w:name w:val="Содержание"/>
    <w:basedOn w:val="a7"/>
    <w:uiPriority w:val="99"/>
    <w:rsid w:val="0042058C"/>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fffff5">
    <w:name w:val="toa heading"/>
    <w:basedOn w:val="a7"/>
    <w:next w:val="a7"/>
    <w:uiPriority w:val="99"/>
    <w:semiHidden/>
    <w:rsid w:val="0042058C"/>
    <w:pPr>
      <w:spacing w:before="40" w:after="20" w:line="240" w:lineRule="auto"/>
      <w:jc w:val="center"/>
    </w:pPr>
    <w:rPr>
      <w:rFonts w:ascii="Times New Roman" w:eastAsia="Times New Roman" w:hAnsi="Times New Roman" w:cs="Times New Roman"/>
      <w:b/>
      <w:szCs w:val="20"/>
      <w:lang w:eastAsia="ru-RU"/>
    </w:rPr>
  </w:style>
  <w:style w:type="paragraph" w:customStyle="1" w:styleId="a5">
    <w:name w:val="Требования"/>
    <w:basedOn w:val="a7"/>
    <w:rsid w:val="0042058C"/>
    <w:pPr>
      <w:numPr>
        <w:ilvl w:val="1"/>
        <w:numId w:val="60"/>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4"/>
    <w:rsid w:val="0042058C"/>
    <w:pPr>
      <w:numPr>
        <w:numId w:val="59"/>
      </w:numPr>
      <w:ind w:left="1429" w:hanging="360"/>
    </w:pPr>
    <w:rPr>
      <w:lang w:val="ru-RU" w:eastAsia="ru-RU"/>
    </w:rPr>
  </w:style>
  <w:style w:type="paragraph" w:customStyle="1" w:styleId="1ff1">
    <w:name w:val="Обычный 1"/>
    <w:basedOn w:val="a7"/>
    <w:next w:val="a7"/>
    <w:uiPriority w:val="99"/>
    <w:semiHidden/>
    <w:rsid w:val="0042058C"/>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6">
    <w:name w:val="Обычный влево"/>
    <w:basedOn w:val="1ff1"/>
    <w:uiPriority w:val="99"/>
    <w:rsid w:val="0042058C"/>
    <w:pPr>
      <w:tabs>
        <w:tab w:val="clear" w:pos="360"/>
      </w:tabs>
      <w:spacing w:before="0"/>
      <w:ind w:left="0" w:firstLine="0"/>
      <w:jc w:val="left"/>
    </w:pPr>
  </w:style>
  <w:style w:type="paragraph" w:customStyle="1" w:styleId="102">
    <w:name w:val="Табличный_центр_10"/>
    <w:basedOn w:val="a7"/>
    <w:qFormat/>
    <w:rsid w:val="0042058C"/>
    <w:pPr>
      <w:keepNext/>
      <w:spacing w:after="0" w:line="240" w:lineRule="auto"/>
      <w:jc w:val="center"/>
    </w:pPr>
    <w:rPr>
      <w:rFonts w:ascii="Times New Roman" w:eastAsia="Times New Roman" w:hAnsi="Times New Roman" w:cs="Times New Roman"/>
      <w:sz w:val="20"/>
      <w:szCs w:val="24"/>
      <w:lang w:eastAsia="ru-RU"/>
    </w:rPr>
  </w:style>
  <w:style w:type="paragraph" w:customStyle="1" w:styleId="103">
    <w:name w:val="Табличный_слева_10"/>
    <w:basedOn w:val="a7"/>
    <w:uiPriority w:val="99"/>
    <w:qFormat/>
    <w:rsid w:val="0042058C"/>
    <w:p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по ширине_10"/>
    <w:basedOn w:val="a7"/>
    <w:qFormat/>
    <w:rsid w:val="0042058C"/>
    <w:pPr>
      <w:spacing w:after="0" w:line="240" w:lineRule="auto"/>
      <w:jc w:val="both"/>
    </w:pPr>
    <w:rPr>
      <w:rFonts w:ascii="Times New Roman" w:eastAsia="Times New Roman" w:hAnsi="Times New Roman" w:cs="Times New Roman"/>
      <w:sz w:val="20"/>
      <w:szCs w:val="24"/>
      <w:lang w:eastAsia="ru-RU"/>
    </w:rPr>
  </w:style>
  <w:style w:type="paragraph" w:customStyle="1" w:styleId="100">
    <w:name w:val="Табличный_нумерованный_10"/>
    <w:basedOn w:val="a7"/>
    <w:uiPriority w:val="99"/>
    <w:qFormat/>
    <w:rsid w:val="0042058C"/>
    <w:pPr>
      <w:numPr>
        <w:numId w:val="63"/>
      </w:numPr>
      <w:spacing w:after="0" w:line="240" w:lineRule="auto"/>
    </w:pPr>
    <w:rPr>
      <w:rFonts w:ascii="Times New Roman" w:eastAsia="Times New Roman" w:hAnsi="Times New Roman" w:cs="Times New Roman"/>
      <w:sz w:val="20"/>
      <w:szCs w:val="24"/>
      <w:lang w:eastAsia="ru-RU"/>
    </w:rPr>
  </w:style>
  <w:style w:type="paragraph" w:customStyle="1" w:styleId="105">
    <w:name w:val="Табличный_заголовки_10"/>
    <w:basedOn w:val="af3"/>
    <w:uiPriority w:val="99"/>
    <w:qFormat/>
    <w:rsid w:val="0042058C"/>
    <w:pPr>
      <w:jc w:val="center"/>
    </w:pPr>
    <w:rPr>
      <w:b/>
      <w:sz w:val="20"/>
    </w:rPr>
  </w:style>
  <w:style w:type="paragraph" w:styleId="affffff7">
    <w:name w:val="Intense Quote"/>
    <w:basedOn w:val="a7"/>
    <w:next w:val="a7"/>
    <w:link w:val="affffff8"/>
    <w:uiPriority w:val="30"/>
    <w:qFormat/>
    <w:rsid w:val="0042058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8">
    <w:name w:val="Выделенная цитата Знак"/>
    <w:basedOn w:val="a8"/>
    <w:link w:val="affffff7"/>
    <w:uiPriority w:val="30"/>
    <w:rsid w:val="0042058C"/>
    <w:rPr>
      <w:rFonts w:ascii="Cambria" w:eastAsia="Times New Roman" w:hAnsi="Cambria" w:cs="Times New Roman"/>
      <w:i/>
      <w:iCs/>
      <w:color w:val="F4F4F4"/>
      <w:sz w:val="24"/>
      <w:szCs w:val="24"/>
      <w:shd w:val="clear" w:color="auto" w:fill="4F81BD"/>
      <w:lang w:eastAsia="ru-RU"/>
    </w:rPr>
  </w:style>
  <w:style w:type="character" w:styleId="affffff9">
    <w:name w:val="Subtle Emphasis"/>
    <w:uiPriority w:val="19"/>
    <w:qFormat/>
    <w:rsid w:val="0042058C"/>
    <w:rPr>
      <w:i/>
      <w:iCs/>
      <w:color w:val="5A5A5A"/>
    </w:rPr>
  </w:style>
  <w:style w:type="character" w:styleId="affffffa">
    <w:name w:val="Intense Emphasis"/>
    <w:uiPriority w:val="21"/>
    <w:qFormat/>
    <w:rsid w:val="0042058C"/>
    <w:rPr>
      <w:b/>
      <w:bCs/>
      <w:i/>
      <w:iCs/>
      <w:color w:val="4F81BD"/>
      <w:sz w:val="22"/>
      <w:szCs w:val="22"/>
    </w:rPr>
  </w:style>
  <w:style w:type="character" w:styleId="affffffb">
    <w:name w:val="Subtle Reference"/>
    <w:uiPriority w:val="31"/>
    <w:qFormat/>
    <w:rsid w:val="0042058C"/>
    <w:rPr>
      <w:color w:val="auto"/>
      <w:u w:val="single" w:color="9BBB59"/>
    </w:rPr>
  </w:style>
  <w:style w:type="character" w:styleId="affffffc">
    <w:name w:val="Intense Reference"/>
    <w:uiPriority w:val="32"/>
    <w:qFormat/>
    <w:rsid w:val="0042058C"/>
    <w:rPr>
      <w:b/>
      <w:bCs/>
      <w:color w:val="76923C"/>
      <w:u w:val="single" w:color="9BBB59"/>
    </w:rPr>
  </w:style>
  <w:style w:type="character" w:styleId="affffffd">
    <w:name w:val="Book Title"/>
    <w:uiPriority w:val="33"/>
    <w:qFormat/>
    <w:rsid w:val="0042058C"/>
    <w:rPr>
      <w:rFonts w:ascii="Cambria" w:eastAsia="Times New Roman" w:hAnsi="Cambria" w:cs="Times New Roman"/>
      <w:b/>
      <w:bCs/>
      <w:i/>
      <w:iCs/>
      <w:color w:val="auto"/>
    </w:rPr>
  </w:style>
  <w:style w:type="paragraph" w:styleId="affffffe">
    <w:name w:val="List Bullet"/>
    <w:aliases w:val="Маркированный"/>
    <w:basedOn w:val="a7"/>
    <w:uiPriority w:val="99"/>
    <w:unhideWhenUsed/>
    <w:rsid w:val="0042058C"/>
    <w:pPr>
      <w:spacing w:after="0" w:line="360" w:lineRule="auto"/>
      <w:ind w:left="1571" w:hanging="360"/>
      <w:contextualSpacing/>
      <w:jc w:val="both"/>
    </w:pPr>
    <w:rPr>
      <w:rFonts w:ascii="Times New Roman" w:eastAsia="Times New Roman" w:hAnsi="Times New Roman" w:cs="Times New Roman"/>
      <w:sz w:val="24"/>
      <w:szCs w:val="24"/>
      <w:lang w:eastAsia="ru-RU"/>
    </w:rPr>
  </w:style>
  <w:style w:type="numbering" w:styleId="1111110">
    <w:name w:val="Outline List 2"/>
    <w:basedOn w:val="aa"/>
    <w:rsid w:val="0042058C"/>
  </w:style>
  <w:style w:type="character" w:styleId="afffffff">
    <w:name w:val="page number"/>
    <w:rsid w:val="0042058C"/>
  </w:style>
  <w:style w:type="numbering" w:styleId="1ai">
    <w:name w:val="Outline List 1"/>
    <w:basedOn w:val="aa"/>
    <w:rsid w:val="0042058C"/>
  </w:style>
  <w:style w:type="paragraph" w:styleId="afffffff0">
    <w:name w:val="Block Text"/>
    <w:basedOn w:val="a7"/>
    <w:uiPriority w:val="99"/>
    <w:rsid w:val="0042058C"/>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1">
    <w:name w:val="line number"/>
    <w:rsid w:val="0042058C"/>
    <w:rPr>
      <w:sz w:val="18"/>
      <w:szCs w:val="18"/>
    </w:rPr>
  </w:style>
  <w:style w:type="paragraph" w:styleId="48">
    <w:name w:val="List 4"/>
    <w:basedOn w:val="a4"/>
    <w:uiPriority w:val="99"/>
    <w:rsid w:val="0042058C"/>
    <w:pPr>
      <w:numPr>
        <w:numId w:val="0"/>
      </w:numPr>
      <w:spacing w:after="240" w:line="240" w:lineRule="atLeast"/>
      <w:ind w:left="2520" w:firstLine="426"/>
    </w:pPr>
    <w:rPr>
      <w:rFonts w:ascii="Arial" w:hAnsi="Arial" w:cs="Arial"/>
      <w:snapToGrid/>
      <w:spacing w:val="-5"/>
      <w:sz w:val="20"/>
      <w:szCs w:val="20"/>
      <w:lang w:val="ru-RU" w:eastAsia="en-US"/>
    </w:rPr>
  </w:style>
  <w:style w:type="paragraph" w:styleId="54">
    <w:name w:val="List 5"/>
    <w:basedOn w:val="a4"/>
    <w:uiPriority w:val="99"/>
    <w:rsid w:val="0042058C"/>
    <w:pPr>
      <w:numPr>
        <w:numId w:val="0"/>
      </w:numPr>
      <w:spacing w:after="240" w:line="240" w:lineRule="atLeast"/>
      <w:ind w:left="2880" w:firstLine="426"/>
    </w:pPr>
    <w:rPr>
      <w:rFonts w:ascii="Arial" w:hAnsi="Arial" w:cs="Arial"/>
      <w:snapToGrid/>
      <w:spacing w:val="-5"/>
      <w:sz w:val="20"/>
      <w:szCs w:val="20"/>
      <w:lang w:val="ru-RU" w:eastAsia="en-US"/>
    </w:rPr>
  </w:style>
  <w:style w:type="paragraph" w:styleId="49">
    <w:name w:val="List Bullet 4"/>
    <w:basedOn w:val="affffffe"/>
    <w:autoRedefine/>
    <w:uiPriority w:val="99"/>
    <w:rsid w:val="0042058C"/>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fe"/>
    <w:autoRedefine/>
    <w:uiPriority w:val="99"/>
    <w:rsid w:val="0042058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f2">
    <w:name w:val="List Continue"/>
    <w:basedOn w:val="a4"/>
    <w:uiPriority w:val="99"/>
    <w:rsid w:val="0042058C"/>
    <w:pPr>
      <w:numPr>
        <w:numId w:val="0"/>
      </w:numPr>
      <w:spacing w:after="240" w:line="240" w:lineRule="atLeast"/>
      <w:ind w:left="1440"/>
    </w:pPr>
    <w:rPr>
      <w:rFonts w:ascii="Arial" w:hAnsi="Arial" w:cs="Arial"/>
      <w:snapToGrid/>
      <w:spacing w:val="-5"/>
      <w:sz w:val="20"/>
      <w:szCs w:val="20"/>
      <w:lang w:val="ru-RU" w:eastAsia="en-US"/>
    </w:rPr>
  </w:style>
  <w:style w:type="paragraph" w:styleId="2fa">
    <w:name w:val="List Continue 2"/>
    <w:basedOn w:val="afffffff2"/>
    <w:uiPriority w:val="99"/>
    <w:rsid w:val="0042058C"/>
    <w:pPr>
      <w:ind w:left="2160"/>
    </w:pPr>
  </w:style>
  <w:style w:type="paragraph" w:styleId="3c">
    <w:name w:val="List Continue 3"/>
    <w:basedOn w:val="afffffff2"/>
    <w:uiPriority w:val="99"/>
    <w:rsid w:val="0042058C"/>
    <w:pPr>
      <w:ind w:left="2520"/>
    </w:pPr>
  </w:style>
  <w:style w:type="paragraph" w:styleId="4a">
    <w:name w:val="List Continue 4"/>
    <w:basedOn w:val="afffffff2"/>
    <w:uiPriority w:val="99"/>
    <w:rsid w:val="0042058C"/>
    <w:pPr>
      <w:ind w:left="2880"/>
    </w:pPr>
  </w:style>
  <w:style w:type="paragraph" w:styleId="56">
    <w:name w:val="List Continue 5"/>
    <w:basedOn w:val="afffffff2"/>
    <w:uiPriority w:val="99"/>
    <w:rsid w:val="0042058C"/>
    <w:pPr>
      <w:ind w:left="3240"/>
    </w:pPr>
  </w:style>
  <w:style w:type="paragraph" w:styleId="afffffff3">
    <w:name w:val="List Number"/>
    <w:basedOn w:val="a7"/>
    <w:uiPriority w:val="99"/>
    <w:rsid w:val="0042058C"/>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d">
    <w:name w:val="List Number 3"/>
    <w:basedOn w:val="afffffff3"/>
    <w:uiPriority w:val="99"/>
    <w:rsid w:val="0042058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b">
    <w:name w:val="List Number 4"/>
    <w:basedOn w:val="afffffff3"/>
    <w:uiPriority w:val="99"/>
    <w:rsid w:val="0042058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3"/>
    <w:uiPriority w:val="99"/>
    <w:rsid w:val="0042058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4">
    <w:name w:val="Message Header"/>
    <w:basedOn w:val="aff9"/>
    <w:link w:val="afffffff5"/>
    <w:uiPriority w:val="99"/>
    <w:rsid w:val="0042058C"/>
    <w:pPr>
      <w:keepLines/>
      <w:tabs>
        <w:tab w:val="left" w:pos="3600"/>
        <w:tab w:val="left" w:pos="4680"/>
      </w:tabs>
      <w:spacing w:line="280" w:lineRule="exact"/>
      <w:ind w:left="1080" w:right="2160" w:hanging="1080"/>
      <w:jc w:val="both"/>
    </w:pPr>
    <w:rPr>
      <w:rFonts w:ascii="Arial" w:eastAsia="Times New Roman" w:hAnsi="Arial"/>
    </w:rPr>
  </w:style>
  <w:style w:type="character" w:customStyle="1" w:styleId="afffffff5">
    <w:name w:val="Шапка Знак"/>
    <w:basedOn w:val="a8"/>
    <w:link w:val="afffffff4"/>
    <w:uiPriority w:val="99"/>
    <w:rsid w:val="0042058C"/>
    <w:rPr>
      <w:rFonts w:ascii="Arial" w:eastAsia="Times New Roman" w:hAnsi="Arial" w:cs="Times New Roman"/>
    </w:rPr>
  </w:style>
  <w:style w:type="paragraph" w:styleId="afffffff6">
    <w:name w:val="Normal Indent"/>
    <w:basedOn w:val="a7"/>
    <w:uiPriority w:val="99"/>
    <w:rsid w:val="0042058C"/>
    <w:pPr>
      <w:spacing w:after="0" w:line="360" w:lineRule="auto"/>
      <w:ind w:left="1440" w:firstLine="709"/>
      <w:jc w:val="both"/>
    </w:pPr>
    <w:rPr>
      <w:rFonts w:ascii="Arial" w:eastAsia="Times New Roman" w:hAnsi="Arial" w:cs="Arial"/>
      <w:spacing w:val="-5"/>
      <w:sz w:val="20"/>
      <w:szCs w:val="20"/>
    </w:rPr>
  </w:style>
  <w:style w:type="paragraph" w:styleId="HTML1">
    <w:name w:val="HTML Address"/>
    <w:basedOn w:val="a7"/>
    <w:link w:val="HTML2"/>
    <w:rsid w:val="0042058C"/>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2">
    <w:name w:val="Адрес HTML Знак"/>
    <w:basedOn w:val="a8"/>
    <w:link w:val="HTML1"/>
    <w:rsid w:val="0042058C"/>
    <w:rPr>
      <w:rFonts w:ascii="Arial" w:eastAsia="Times New Roman" w:hAnsi="Arial" w:cs="Times New Roman"/>
      <w:i/>
      <w:iCs/>
      <w:spacing w:val="-5"/>
      <w:sz w:val="20"/>
      <w:szCs w:val="20"/>
    </w:rPr>
  </w:style>
  <w:style w:type="paragraph" w:styleId="afffffff7">
    <w:name w:val="envelope address"/>
    <w:basedOn w:val="a7"/>
    <w:uiPriority w:val="99"/>
    <w:rsid w:val="0042058C"/>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3">
    <w:name w:val="HTML Acronym"/>
    <w:rsid w:val="0042058C"/>
    <w:rPr>
      <w:lang w:val="ru-RU"/>
    </w:rPr>
  </w:style>
  <w:style w:type="paragraph" w:styleId="afffffff8">
    <w:name w:val="Date"/>
    <w:basedOn w:val="a7"/>
    <w:next w:val="a7"/>
    <w:link w:val="afffffff9"/>
    <w:uiPriority w:val="99"/>
    <w:rsid w:val="0042058C"/>
    <w:pPr>
      <w:spacing w:after="0" w:line="360" w:lineRule="auto"/>
      <w:ind w:left="1080" w:firstLine="709"/>
      <w:jc w:val="both"/>
    </w:pPr>
    <w:rPr>
      <w:rFonts w:ascii="Arial" w:eastAsia="Times New Roman" w:hAnsi="Arial" w:cs="Times New Roman"/>
      <w:spacing w:val="-5"/>
      <w:sz w:val="20"/>
      <w:szCs w:val="20"/>
    </w:rPr>
  </w:style>
  <w:style w:type="character" w:customStyle="1" w:styleId="afffffff9">
    <w:name w:val="Дата Знак"/>
    <w:basedOn w:val="a8"/>
    <w:link w:val="afffffff8"/>
    <w:uiPriority w:val="99"/>
    <w:rsid w:val="0042058C"/>
    <w:rPr>
      <w:rFonts w:ascii="Arial" w:eastAsia="Times New Roman" w:hAnsi="Arial" w:cs="Times New Roman"/>
      <w:spacing w:val="-5"/>
      <w:sz w:val="20"/>
      <w:szCs w:val="20"/>
    </w:rPr>
  </w:style>
  <w:style w:type="paragraph" w:styleId="afffffffa">
    <w:name w:val="Note Heading"/>
    <w:basedOn w:val="a7"/>
    <w:next w:val="a7"/>
    <w:link w:val="afffffffb"/>
    <w:uiPriority w:val="99"/>
    <w:rsid w:val="0042058C"/>
    <w:pPr>
      <w:spacing w:after="0" w:line="360" w:lineRule="auto"/>
      <w:ind w:left="1080" w:firstLine="709"/>
      <w:jc w:val="both"/>
    </w:pPr>
    <w:rPr>
      <w:rFonts w:ascii="Arial" w:eastAsia="Times New Roman" w:hAnsi="Arial" w:cs="Times New Roman"/>
      <w:spacing w:val="-5"/>
      <w:sz w:val="20"/>
      <w:szCs w:val="20"/>
    </w:rPr>
  </w:style>
  <w:style w:type="character" w:customStyle="1" w:styleId="afffffffb">
    <w:name w:val="Заголовок записки Знак"/>
    <w:basedOn w:val="a8"/>
    <w:link w:val="afffffffa"/>
    <w:uiPriority w:val="99"/>
    <w:rsid w:val="0042058C"/>
    <w:rPr>
      <w:rFonts w:ascii="Arial" w:eastAsia="Times New Roman" w:hAnsi="Arial" w:cs="Times New Roman"/>
      <w:spacing w:val="-5"/>
      <w:sz w:val="20"/>
      <w:szCs w:val="20"/>
    </w:rPr>
  </w:style>
  <w:style w:type="character" w:styleId="HTML4">
    <w:name w:val="HTML Keyboard"/>
    <w:rsid w:val="0042058C"/>
    <w:rPr>
      <w:rFonts w:ascii="Courier New" w:hAnsi="Courier New" w:cs="Courier New"/>
      <w:sz w:val="20"/>
      <w:szCs w:val="20"/>
      <w:lang w:val="ru-RU"/>
    </w:rPr>
  </w:style>
  <w:style w:type="character" w:styleId="HTML5">
    <w:name w:val="HTML Code"/>
    <w:rsid w:val="0042058C"/>
    <w:rPr>
      <w:rFonts w:ascii="Courier New" w:hAnsi="Courier New" w:cs="Courier New"/>
      <w:sz w:val="20"/>
      <w:szCs w:val="20"/>
      <w:lang w:val="ru-RU"/>
    </w:rPr>
  </w:style>
  <w:style w:type="paragraph" w:styleId="afffffffc">
    <w:name w:val="Body Text First Indent"/>
    <w:basedOn w:val="aff9"/>
    <w:link w:val="afffffffd"/>
    <w:uiPriority w:val="99"/>
    <w:rsid w:val="0042058C"/>
    <w:pPr>
      <w:spacing w:line="360" w:lineRule="auto"/>
      <w:ind w:left="1080" w:firstLine="210"/>
      <w:jc w:val="both"/>
    </w:pPr>
    <w:rPr>
      <w:rFonts w:ascii="Arial" w:eastAsia="Times New Roman" w:hAnsi="Arial"/>
      <w:spacing w:val="-5"/>
      <w:sz w:val="24"/>
      <w:szCs w:val="24"/>
    </w:rPr>
  </w:style>
  <w:style w:type="character" w:customStyle="1" w:styleId="afffffffd">
    <w:name w:val="Красная строка Знак"/>
    <w:basedOn w:val="affa"/>
    <w:link w:val="afffffffc"/>
    <w:uiPriority w:val="99"/>
    <w:rsid w:val="0042058C"/>
    <w:rPr>
      <w:rFonts w:ascii="Arial" w:eastAsia="Times New Roman" w:hAnsi="Arial" w:cs="Times New Roman"/>
      <w:spacing w:val="-5"/>
      <w:sz w:val="24"/>
      <w:szCs w:val="24"/>
    </w:rPr>
  </w:style>
  <w:style w:type="paragraph" w:styleId="2fb">
    <w:name w:val="Body Text First Indent 2"/>
    <w:basedOn w:val="afff8"/>
    <w:link w:val="2fc"/>
    <w:uiPriority w:val="99"/>
    <w:rsid w:val="0042058C"/>
    <w:pPr>
      <w:spacing w:after="120"/>
      <w:ind w:left="283" w:firstLine="210"/>
      <w:jc w:val="left"/>
    </w:pPr>
    <w:rPr>
      <w:rFonts w:ascii="Arial" w:hAnsi="Arial"/>
      <w:spacing w:val="-5"/>
      <w:sz w:val="24"/>
    </w:rPr>
  </w:style>
  <w:style w:type="character" w:customStyle="1" w:styleId="2fc">
    <w:name w:val="Красная строка 2 Знак"/>
    <w:basedOn w:val="1f4"/>
    <w:link w:val="2fb"/>
    <w:uiPriority w:val="99"/>
    <w:rsid w:val="0042058C"/>
    <w:rPr>
      <w:rFonts w:ascii="Arial" w:hAnsi="Arial"/>
      <w:spacing w:val="-5"/>
      <w:sz w:val="24"/>
      <w:szCs w:val="24"/>
    </w:rPr>
  </w:style>
  <w:style w:type="character" w:styleId="HTML6">
    <w:name w:val="HTML Sample"/>
    <w:rsid w:val="0042058C"/>
    <w:rPr>
      <w:rFonts w:ascii="Courier New" w:hAnsi="Courier New" w:cs="Courier New"/>
      <w:lang w:val="ru-RU"/>
    </w:rPr>
  </w:style>
  <w:style w:type="paragraph" w:styleId="2fd">
    <w:name w:val="envelope return"/>
    <w:basedOn w:val="a7"/>
    <w:uiPriority w:val="99"/>
    <w:rsid w:val="0042058C"/>
    <w:pPr>
      <w:spacing w:after="0" w:line="360" w:lineRule="auto"/>
      <w:ind w:left="1080" w:firstLine="709"/>
      <w:jc w:val="both"/>
    </w:pPr>
    <w:rPr>
      <w:rFonts w:ascii="Arial" w:eastAsia="Times New Roman" w:hAnsi="Arial" w:cs="Arial"/>
      <w:spacing w:val="-5"/>
      <w:sz w:val="20"/>
      <w:szCs w:val="20"/>
    </w:rPr>
  </w:style>
  <w:style w:type="character" w:styleId="HTML7">
    <w:name w:val="HTML Definition"/>
    <w:rsid w:val="0042058C"/>
    <w:rPr>
      <w:i/>
      <w:iCs/>
      <w:lang w:val="ru-RU"/>
    </w:rPr>
  </w:style>
  <w:style w:type="character" w:styleId="HTML8">
    <w:name w:val="HTML Variable"/>
    <w:rsid w:val="0042058C"/>
    <w:rPr>
      <w:i/>
      <w:iCs/>
      <w:lang w:val="ru-RU"/>
    </w:rPr>
  </w:style>
  <w:style w:type="character" w:styleId="HTML9">
    <w:name w:val="HTML Typewriter"/>
    <w:rsid w:val="0042058C"/>
    <w:rPr>
      <w:rFonts w:ascii="Courier New" w:hAnsi="Courier New" w:cs="Courier New"/>
      <w:sz w:val="20"/>
      <w:szCs w:val="20"/>
      <w:lang w:val="ru-RU"/>
    </w:rPr>
  </w:style>
  <w:style w:type="paragraph" w:styleId="afffffffe">
    <w:name w:val="Signature"/>
    <w:basedOn w:val="a7"/>
    <w:link w:val="affffffff"/>
    <w:uiPriority w:val="99"/>
    <w:rsid w:val="0042058C"/>
    <w:pPr>
      <w:spacing w:after="0" w:line="360" w:lineRule="auto"/>
      <w:ind w:left="4252" w:firstLine="709"/>
      <w:jc w:val="both"/>
    </w:pPr>
    <w:rPr>
      <w:rFonts w:ascii="Arial" w:eastAsia="Times New Roman" w:hAnsi="Arial" w:cs="Times New Roman"/>
      <w:spacing w:val="-5"/>
      <w:sz w:val="20"/>
      <w:szCs w:val="20"/>
    </w:rPr>
  </w:style>
  <w:style w:type="character" w:customStyle="1" w:styleId="affffffff">
    <w:name w:val="Подпись Знак"/>
    <w:basedOn w:val="a8"/>
    <w:link w:val="afffffffe"/>
    <w:uiPriority w:val="99"/>
    <w:rsid w:val="0042058C"/>
    <w:rPr>
      <w:rFonts w:ascii="Arial" w:eastAsia="Times New Roman" w:hAnsi="Arial" w:cs="Times New Roman"/>
      <w:spacing w:val="-5"/>
      <w:sz w:val="20"/>
      <w:szCs w:val="20"/>
    </w:rPr>
  </w:style>
  <w:style w:type="paragraph" w:styleId="affffffff0">
    <w:name w:val="Salutation"/>
    <w:basedOn w:val="a7"/>
    <w:next w:val="a7"/>
    <w:link w:val="affffffff1"/>
    <w:uiPriority w:val="99"/>
    <w:rsid w:val="0042058C"/>
    <w:pPr>
      <w:spacing w:after="0" w:line="360" w:lineRule="auto"/>
      <w:ind w:left="1080" w:firstLine="709"/>
      <w:jc w:val="both"/>
    </w:pPr>
    <w:rPr>
      <w:rFonts w:ascii="Arial" w:eastAsia="Times New Roman" w:hAnsi="Arial" w:cs="Times New Roman"/>
      <w:spacing w:val="-5"/>
      <w:sz w:val="20"/>
      <w:szCs w:val="20"/>
    </w:rPr>
  </w:style>
  <w:style w:type="character" w:customStyle="1" w:styleId="affffffff1">
    <w:name w:val="Приветствие Знак"/>
    <w:basedOn w:val="a8"/>
    <w:link w:val="affffffff0"/>
    <w:uiPriority w:val="99"/>
    <w:rsid w:val="0042058C"/>
    <w:rPr>
      <w:rFonts w:ascii="Arial" w:eastAsia="Times New Roman" w:hAnsi="Arial" w:cs="Times New Roman"/>
      <w:spacing w:val="-5"/>
      <w:sz w:val="20"/>
      <w:szCs w:val="20"/>
    </w:rPr>
  </w:style>
  <w:style w:type="paragraph" w:styleId="affffffff2">
    <w:name w:val="Closing"/>
    <w:basedOn w:val="a7"/>
    <w:link w:val="affffffff3"/>
    <w:uiPriority w:val="99"/>
    <w:rsid w:val="0042058C"/>
    <w:pPr>
      <w:spacing w:after="0" w:line="360" w:lineRule="auto"/>
      <w:ind w:left="4252" w:firstLine="709"/>
      <w:jc w:val="both"/>
    </w:pPr>
    <w:rPr>
      <w:rFonts w:ascii="Arial" w:eastAsia="Times New Roman" w:hAnsi="Arial" w:cs="Times New Roman"/>
      <w:spacing w:val="-5"/>
      <w:sz w:val="20"/>
      <w:szCs w:val="20"/>
    </w:rPr>
  </w:style>
  <w:style w:type="character" w:customStyle="1" w:styleId="affffffff3">
    <w:name w:val="Прощание Знак"/>
    <w:basedOn w:val="a8"/>
    <w:link w:val="affffffff2"/>
    <w:uiPriority w:val="99"/>
    <w:rsid w:val="0042058C"/>
    <w:rPr>
      <w:rFonts w:ascii="Arial" w:eastAsia="Times New Roman" w:hAnsi="Arial" w:cs="Times New Roman"/>
      <w:spacing w:val="-5"/>
      <w:sz w:val="20"/>
      <w:szCs w:val="20"/>
    </w:rPr>
  </w:style>
  <w:style w:type="character" w:styleId="HTMLa">
    <w:name w:val="HTML Cite"/>
    <w:rsid w:val="0042058C"/>
    <w:rPr>
      <w:i/>
      <w:iCs/>
      <w:lang w:val="ru-RU"/>
    </w:rPr>
  </w:style>
  <w:style w:type="paragraph" w:styleId="affffffff4">
    <w:name w:val="E-mail Signature"/>
    <w:basedOn w:val="a7"/>
    <w:link w:val="affffffff5"/>
    <w:uiPriority w:val="99"/>
    <w:rsid w:val="0042058C"/>
    <w:pPr>
      <w:spacing w:after="0" w:line="360" w:lineRule="auto"/>
      <w:ind w:left="1080" w:firstLine="709"/>
      <w:jc w:val="both"/>
    </w:pPr>
    <w:rPr>
      <w:rFonts w:ascii="Arial" w:eastAsia="Times New Roman" w:hAnsi="Arial" w:cs="Times New Roman"/>
      <w:spacing w:val="-5"/>
      <w:sz w:val="20"/>
      <w:szCs w:val="20"/>
    </w:rPr>
  </w:style>
  <w:style w:type="character" w:customStyle="1" w:styleId="affffffff5">
    <w:name w:val="Электронная подпись Знак"/>
    <w:basedOn w:val="a8"/>
    <w:link w:val="affffffff4"/>
    <w:uiPriority w:val="99"/>
    <w:rsid w:val="0042058C"/>
    <w:rPr>
      <w:rFonts w:ascii="Arial" w:eastAsia="Times New Roman" w:hAnsi="Arial" w:cs="Times New Roman"/>
      <w:spacing w:val="-5"/>
      <w:sz w:val="20"/>
      <w:szCs w:val="20"/>
    </w:rPr>
  </w:style>
  <w:style w:type="table" w:styleId="-1">
    <w:name w:val="Table Web 1"/>
    <w:basedOn w:val="a9"/>
    <w:rsid w:val="0042058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42058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42058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6">
    <w:name w:val="Table Elegant"/>
    <w:basedOn w:val="a9"/>
    <w:rsid w:val="0042058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9"/>
    <w:rsid w:val="0042058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9"/>
    <w:rsid w:val="0042058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9"/>
    <w:rsid w:val="0042058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9"/>
    <w:rsid w:val="0042058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0">
    <w:name w:val="Table 3D effects 2"/>
    <w:basedOn w:val="a9"/>
    <w:rsid w:val="0042058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9"/>
    <w:rsid w:val="0042058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1">
    <w:name w:val="Table Simple 2"/>
    <w:basedOn w:val="a9"/>
    <w:rsid w:val="0042058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6">
    <w:name w:val="Table Grid 1"/>
    <w:basedOn w:val="a9"/>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9"/>
    <w:rsid w:val="0042058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9"/>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9"/>
    <w:rsid w:val="0042058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42058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rsid w:val="0042058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7">
    <w:name w:val="Table Contemporary"/>
    <w:basedOn w:val="a9"/>
    <w:rsid w:val="0042058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8">
    <w:name w:val="Table Professional"/>
    <w:basedOn w:val="a9"/>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a"/>
    <w:rsid w:val="0042058C"/>
    <w:pPr>
      <w:numPr>
        <w:numId w:val="66"/>
      </w:numPr>
    </w:pPr>
  </w:style>
  <w:style w:type="table" w:styleId="1ff7">
    <w:name w:val="Table Columns 1"/>
    <w:basedOn w:val="a9"/>
    <w:rsid w:val="0042058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olumns 2"/>
    <w:basedOn w:val="a9"/>
    <w:rsid w:val="0042058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9"/>
    <w:rsid w:val="0042058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9"/>
    <w:rsid w:val="0042058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42058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9"/>
    <w:rsid w:val="0042058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9">
    <w:name w:val="Table Theme"/>
    <w:basedOn w:val="a9"/>
    <w:rsid w:val="004205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8">
    <w:name w:val="Table Colorful 1"/>
    <w:basedOn w:val="a9"/>
    <w:rsid w:val="0042058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9"/>
    <w:rsid w:val="0042058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9"/>
    <w:rsid w:val="0042058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42058C"/>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
    <w:name w:val="S_Обычный"/>
    <w:basedOn w:val="a7"/>
    <w:link w:val="S3"/>
    <w:qFormat/>
    <w:rsid w:val="0042058C"/>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3">
    <w:name w:val="S_Обычный Знак"/>
    <w:link w:val="S2"/>
    <w:rsid w:val="0042058C"/>
    <w:rPr>
      <w:rFonts w:ascii="Times New Roman" w:eastAsia="Times New Roman" w:hAnsi="Times New Roman" w:cs="Times New Roman"/>
      <w:sz w:val="24"/>
      <w:szCs w:val="24"/>
      <w:lang w:eastAsia="ar-SA"/>
    </w:rPr>
  </w:style>
  <w:style w:type="paragraph" w:customStyle="1" w:styleId="S4">
    <w:name w:val="S_Титульный"/>
    <w:basedOn w:val="a7"/>
    <w:uiPriority w:val="99"/>
    <w:rsid w:val="0042058C"/>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fa">
    <w:name w:val="ТЕКСТ ГРАД"/>
    <w:basedOn w:val="a7"/>
    <w:link w:val="affffffffb"/>
    <w:qFormat/>
    <w:rsid w:val="0042058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b">
    <w:name w:val="ТЕКСТ ГРАД Знак"/>
    <w:link w:val="affffffffa"/>
    <w:rsid w:val="0042058C"/>
    <w:rPr>
      <w:rFonts w:ascii="Times New Roman" w:eastAsia="Times New Roman" w:hAnsi="Times New Roman" w:cs="Times New Roman"/>
      <w:sz w:val="24"/>
      <w:szCs w:val="24"/>
      <w:lang w:eastAsia="ru-RU"/>
    </w:rPr>
  </w:style>
  <w:style w:type="paragraph" w:customStyle="1" w:styleId="affffffffc">
    <w:name w:val="ООО  «Институт Территориального Планирования"/>
    <w:basedOn w:val="a7"/>
    <w:link w:val="affffffffd"/>
    <w:qFormat/>
    <w:rsid w:val="0042058C"/>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fd">
    <w:name w:val="ООО  «Институт Территориального Планирования Знак"/>
    <w:link w:val="affffffffc"/>
    <w:rsid w:val="0042058C"/>
    <w:rPr>
      <w:rFonts w:ascii="Times New Roman" w:eastAsia="Times New Roman" w:hAnsi="Times New Roman" w:cs="Times New Roman"/>
      <w:sz w:val="24"/>
      <w:szCs w:val="24"/>
      <w:lang w:eastAsia="ru-RU"/>
    </w:rPr>
  </w:style>
  <w:style w:type="paragraph" w:customStyle="1" w:styleId="S5">
    <w:name w:val="S_Обычный в таблице"/>
    <w:basedOn w:val="a7"/>
    <w:link w:val="S6"/>
    <w:rsid w:val="0042058C"/>
    <w:pPr>
      <w:spacing w:after="0" w:line="360" w:lineRule="auto"/>
      <w:jc w:val="center"/>
    </w:pPr>
    <w:rPr>
      <w:rFonts w:ascii="Times New Roman" w:eastAsia="Times New Roman" w:hAnsi="Times New Roman" w:cs="Times New Roman"/>
      <w:sz w:val="24"/>
      <w:szCs w:val="24"/>
      <w:lang w:eastAsia="ru-RU"/>
    </w:rPr>
  </w:style>
  <w:style w:type="character" w:customStyle="1" w:styleId="S6">
    <w:name w:val="S_Обычный в таблице Знак"/>
    <w:link w:val="S5"/>
    <w:rsid w:val="0042058C"/>
    <w:rPr>
      <w:rFonts w:ascii="Times New Roman" w:eastAsia="Times New Roman" w:hAnsi="Times New Roman" w:cs="Times New Roman"/>
      <w:sz w:val="24"/>
      <w:szCs w:val="24"/>
      <w:lang w:eastAsia="ru-RU"/>
    </w:rPr>
  </w:style>
  <w:style w:type="paragraph" w:styleId="affffffffe">
    <w:name w:val="Revision"/>
    <w:hidden/>
    <w:uiPriority w:val="99"/>
    <w:rsid w:val="0042058C"/>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7"/>
    <w:autoRedefine/>
    <w:qFormat/>
    <w:rsid w:val="0042058C"/>
    <w:pPr>
      <w:keepNext/>
      <w:keepLines/>
      <w:spacing w:after="0" w:line="256" w:lineRule="auto"/>
    </w:pPr>
    <w:rPr>
      <w:rFonts w:ascii="Times New Roman" w:eastAsia="Times New Roman" w:hAnsi="Times New Roman" w:cs="Times New Roman"/>
      <w:b/>
      <w:sz w:val="20"/>
      <w:szCs w:val="20"/>
    </w:rPr>
  </w:style>
  <w:style w:type="paragraph" w:customStyle="1" w:styleId="ConsPlusTitle0">
    <w:name w:val="ConsPlusTitle"/>
    <w:uiPriority w:val="99"/>
    <w:rsid w:val="0042058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ffffff">
    <w:name w:val="table of figures"/>
    <w:basedOn w:val="a7"/>
    <w:next w:val="a7"/>
    <w:uiPriority w:val="99"/>
    <w:rsid w:val="0042058C"/>
    <w:pPr>
      <w:spacing w:after="0" w:line="240" w:lineRule="auto"/>
    </w:pPr>
    <w:rPr>
      <w:rFonts w:ascii="Times New Roman" w:eastAsia="Times New Roman" w:hAnsi="Times New Roman" w:cs="Times New Roman"/>
      <w:sz w:val="24"/>
      <w:szCs w:val="24"/>
      <w:lang w:eastAsia="ru-RU"/>
    </w:rPr>
  </w:style>
  <w:style w:type="paragraph" w:styleId="afffffffff0">
    <w:name w:val="Bibliography"/>
    <w:basedOn w:val="a7"/>
    <w:next w:val="a7"/>
    <w:uiPriority w:val="37"/>
    <w:semiHidden/>
    <w:unhideWhenUsed/>
    <w:rsid w:val="0042058C"/>
    <w:pPr>
      <w:spacing w:after="0" w:line="240" w:lineRule="auto"/>
    </w:pPr>
    <w:rPr>
      <w:rFonts w:ascii="Times New Roman" w:eastAsia="Times New Roman" w:hAnsi="Times New Roman" w:cs="Times New Roman"/>
      <w:sz w:val="24"/>
      <w:szCs w:val="24"/>
      <w:lang w:eastAsia="ru-RU"/>
    </w:rPr>
  </w:style>
  <w:style w:type="paragraph" w:styleId="afffffffff1">
    <w:name w:val="table of authorities"/>
    <w:basedOn w:val="a7"/>
    <w:next w:val="a7"/>
    <w:rsid w:val="0042058C"/>
    <w:pPr>
      <w:spacing w:after="0" w:line="240" w:lineRule="auto"/>
      <w:ind w:left="240" w:hanging="240"/>
    </w:pPr>
    <w:rPr>
      <w:rFonts w:ascii="Times New Roman" w:eastAsia="Times New Roman" w:hAnsi="Times New Roman" w:cs="Times New Roman"/>
      <w:sz w:val="24"/>
      <w:szCs w:val="24"/>
      <w:lang w:eastAsia="ru-RU"/>
    </w:rPr>
  </w:style>
  <w:style w:type="paragraph" w:styleId="afffffffff2">
    <w:name w:val="macro"/>
    <w:link w:val="afffffffff3"/>
    <w:uiPriority w:val="99"/>
    <w:rsid w:val="0042058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3">
    <w:name w:val="Текст макроса Знак"/>
    <w:basedOn w:val="a8"/>
    <w:link w:val="afffffffff2"/>
    <w:uiPriority w:val="99"/>
    <w:rsid w:val="0042058C"/>
    <w:rPr>
      <w:rFonts w:ascii="Courier New" w:eastAsia="Times New Roman" w:hAnsi="Courier New" w:cs="Courier New"/>
      <w:sz w:val="20"/>
      <w:szCs w:val="20"/>
      <w:lang w:eastAsia="ru-RU"/>
    </w:rPr>
  </w:style>
  <w:style w:type="paragraph" w:styleId="afffffffff4">
    <w:name w:val="index heading"/>
    <w:basedOn w:val="a7"/>
    <w:next w:val="1f3"/>
    <w:rsid w:val="0042058C"/>
    <w:pPr>
      <w:spacing w:after="0" w:line="240" w:lineRule="auto"/>
    </w:pPr>
    <w:rPr>
      <w:rFonts w:ascii="Cambria" w:eastAsia="Times New Roman" w:hAnsi="Cambria" w:cs="Times New Roman"/>
      <w:b/>
      <w:bCs/>
      <w:sz w:val="24"/>
      <w:szCs w:val="24"/>
      <w:lang w:eastAsia="ru-RU"/>
    </w:rPr>
  </w:style>
  <w:style w:type="paragraph" w:styleId="2ff5">
    <w:name w:val="index 2"/>
    <w:basedOn w:val="a7"/>
    <w:next w:val="a7"/>
    <w:autoRedefine/>
    <w:rsid w:val="0042058C"/>
    <w:pPr>
      <w:spacing w:after="0" w:line="240" w:lineRule="auto"/>
      <w:ind w:left="480" w:hanging="240"/>
    </w:pPr>
    <w:rPr>
      <w:rFonts w:ascii="Times New Roman" w:eastAsia="Times New Roman" w:hAnsi="Times New Roman" w:cs="Times New Roman"/>
      <w:sz w:val="24"/>
      <w:szCs w:val="24"/>
      <w:lang w:eastAsia="ru-RU"/>
    </w:rPr>
  </w:style>
  <w:style w:type="paragraph" w:styleId="3f4">
    <w:name w:val="index 3"/>
    <w:basedOn w:val="a7"/>
    <w:next w:val="a7"/>
    <w:autoRedefine/>
    <w:rsid w:val="0042058C"/>
    <w:pPr>
      <w:spacing w:after="0" w:line="240" w:lineRule="auto"/>
      <w:ind w:left="720" w:hanging="240"/>
    </w:pPr>
    <w:rPr>
      <w:rFonts w:ascii="Times New Roman" w:eastAsia="Times New Roman" w:hAnsi="Times New Roman" w:cs="Times New Roman"/>
      <w:sz w:val="24"/>
      <w:szCs w:val="24"/>
      <w:lang w:eastAsia="ru-RU"/>
    </w:rPr>
  </w:style>
  <w:style w:type="paragraph" w:styleId="4f">
    <w:name w:val="index 4"/>
    <w:basedOn w:val="a7"/>
    <w:next w:val="a7"/>
    <w:autoRedefine/>
    <w:rsid w:val="0042058C"/>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7"/>
    <w:next w:val="a7"/>
    <w:autoRedefine/>
    <w:rsid w:val="0042058C"/>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7"/>
    <w:next w:val="a7"/>
    <w:autoRedefine/>
    <w:rsid w:val="0042058C"/>
    <w:pPr>
      <w:spacing w:after="0" w:line="240" w:lineRule="auto"/>
      <w:ind w:left="1440" w:hanging="240"/>
    </w:pPr>
    <w:rPr>
      <w:rFonts w:ascii="Times New Roman" w:eastAsia="Times New Roman" w:hAnsi="Times New Roman" w:cs="Times New Roman"/>
      <w:sz w:val="24"/>
      <w:szCs w:val="24"/>
      <w:lang w:eastAsia="ru-RU"/>
    </w:rPr>
  </w:style>
  <w:style w:type="paragraph" w:styleId="74">
    <w:name w:val="index 7"/>
    <w:basedOn w:val="a7"/>
    <w:next w:val="a7"/>
    <w:autoRedefine/>
    <w:rsid w:val="0042058C"/>
    <w:pPr>
      <w:spacing w:after="0" w:line="240" w:lineRule="auto"/>
      <w:ind w:left="1680" w:hanging="240"/>
    </w:pPr>
    <w:rPr>
      <w:rFonts w:ascii="Times New Roman" w:eastAsia="Times New Roman" w:hAnsi="Times New Roman" w:cs="Times New Roman"/>
      <w:sz w:val="24"/>
      <w:szCs w:val="24"/>
      <w:lang w:eastAsia="ru-RU"/>
    </w:rPr>
  </w:style>
  <w:style w:type="paragraph" w:styleId="86">
    <w:name w:val="index 8"/>
    <w:basedOn w:val="a7"/>
    <w:next w:val="a7"/>
    <w:autoRedefine/>
    <w:rsid w:val="0042058C"/>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7"/>
    <w:next w:val="a7"/>
    <w:autoRedefine/>
    <w:rsid w:val="0042058C"/>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7"/>
    <w:qFormat/>
    <w:rsid w:val="0042058C"/>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c"/>
    <w:qFormat/>
    <w:rsid w:val="0042058C"/>
    <w:pPr>
      <w:pBdr>
        <w:bottom w:val="single" w:sz="4" w:space="1" w:color="4F81BD"/>
      </w:pBdr>
      <w:spacing w:line="240" w:lineRule="auto"/>
      <w:ind w:firstLine="0"/>
      <w:jc w:val="right"/>
    </w:pPr>
    <w:rPr>
      <w:rFonts w:ascii="Calibri" w:eastAsia="Times New Roman" w:hAnsi="Calibri" w:cs="Times New Roman"/>
      <w:b/>
      <w:bCs/>
      <w:color w:val="1F497D"/>
      <w:sz w:val="20"/>
      <w:szCs w:val="23"/>
      <w:lang w:eastAsia="ja-JP"/>
    </w:rPr>
  </w:style>
  <w:style w:type="character" w:customStyle="1" w:styleId="115">
    <w:name w:val="Заголовок 1 Знак1"/>
    <w:aliases w:val="Заголовок 1 Знак Знак Знак2,Заголовок 1 Знак Знак Знак Знак1"/>
    <w:rsid w:val="0042058C"/>
    <w:rPr>
      <w:rFonts w:ascii="Cambria" w:eastAsia="Times New Roman" w:hAnsi="Cambria" w:cs="Times New Roman"/>
      <w:b/>
      <w:bCs/>
      <w:color w:val="365F91"/>
      <w:sz w:val="28"/>
      <w:szCs w:val="28"/>
    </w:rPr>
  </w:style>
  <w:style w:type="character" w:customStyle="1" w:styleId="1ff9">
    <w:name w:val="Нижний колонтитул Знак1"/>
    <w:aliases w:val="Знак Знак2,Знак6 Знак1"/>
    <w:rsid w:val="0042058C"/>
    <w:rPr>
      <w:sz w:val="24"/>
      <w:szCs w:val="24"/>
    </w:rPr>
  </w:style>
  <w:style w:type="paragraph" w:customStyle="1" w:styleId="S20">
    <w:name w:val="S_Заголовок 2"/>
    <w:basedOn w:val="24"/>
    <w:rsid w:val="0042058C"/>
    <w:pPr>
      <w:keepNext w:val="0"/>
      <w:keepLines w:val="0"/>
      <w:spacing w:before="0" w:line="360" w:lineRule="auto"/>
      <w:ind w:left="993" w:hanging="567"/>
      <w:jc w:val="both"/>
    </w:pPr>
    <w:rPr>
      <w:rFonts w:ascii="Times New Roman" w:eastAsia="Times New Roman" w:hAnsi="Times New Roman" w:cs="Times New Roman"/>
      <w:b/>
      <w:color w:val="auto"/>
      <w:sz w:val="24"/>
      <w:szCs w:val="24"/>
      <w:lang w:eastAsia="ru-RU"/>
    </w:rPr>
  </w:style>
  <w:style w:type="paragraph" w:customStyle="1" w:styleId="S30">
    <w:name w:val="S_Заголовок 3"/>
    <w:basedOn w:val="30"/>
    <w:link w:val="S31"/>
    <w:rsid w:val="0042058C"/>
    <w:pPr>
      <w:keepNext w:val="0"/>
      <w:keepLines w:val="0"/>
      <w:numPr>
        <w:ilvl w:val="0"/>
        <w:numId w:val="0"/>
      </w:numPr>
      <w:spacing w:line="360" w:lineRule="auto"/>
      <w:ind w:left="1276" w:hanging="709"/>
    </w:pPr>
    <w:rPr>
      <w:rFonts w:ascii="Times New Roman" w:eastAsia="Times New Roman" w:hAnsi="Times New Roman" w:cs="Times New Roman"/>
      <w:u w:val="single"/>
      <w:lang w:eastAsia="ru-RU"/>
    </w:rPr>
  </w:style>
  <w:style w:type="paragraph" w:customStyle="1" w:styleId="S40">
    <w:name w:val="S_Заголовок 4"/>
    <w:basedOn w:val="4"/>
    <w:link w:val="S41"/>
    <w:rsid w:val="0042058C"/>
    <w:pPr>
      <w:keepNext w:val="0"/>
      <w:keepLines w:val="0"/>
      <w:tabs>
        <w:tab w:val="num" w:pos="1701"/>
      </w:tabs>
      <w:spacing w:before="0" w:after="0"/>
      <w:ind w:left="1800" w:hanging="949"/>
      <w:jc w:val="left"/>
    </w:pPr>
    <w:rPr>
      <w:iCs w:val="0"/>
      <w:sz w:val="24"/>
      <w:szCs w:val="24"/>
      <w:lang w:eastAsia="ru-RU"/>
    </w:rPr>
  </w:style>
  <w:style w:type="paragraph" w:customStyle="1" w:styleId="S7">
    <w:name w:val="S_Маркированный"/>
    <w:basedOn w:val="affffffe"/>
    <w:autoRedefine/>
    <w:uiPriority w:val="99"/>
    <w:rsid w:val="0042058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2058C"/>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7"/>
    <w:uiPriority w:val="99"/>
    <w:rsid w:val="0042058C"/>
    <w:pPr>
      <w:tabs>
        <w:tab w:val="num" w:pos="1069"/>
      </w:tabs>
      <w:spacing w:after="0" w:line="360" w:lineRule="auto"/>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7"/>
    <w:autoRedefine/>
    <w:rsid w:val="0042058C"/>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a">
    <w:name w:val="S_Маркированный+Обычный"/>
    <w:basedOn w:val="affffffe"/>
    <w:autoRedefine/>
    <w:rsid w:val="0042058C"/>
    <w:pPr>
      <w:ind w:left="0" w:firstLine="0"/>
      <w:contextualSpacing w:val="0"/>
      <w:jc w:val="center"/>
    </w:pPr>
    <w:rPr>
      <w:w w:val="109"/>
    </w:rPr>
  </w:style>
  <w:style w:type="paragraph" w:customStyle="1" w:styleId="Sb">
    <w:name w:val="S_Обычный Знак Знак Знак Знак"/>
    <w:basedOn w:val="a7"/>
    <w:link w:val="Sc"/>
    <w:rsid w:val="0042058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c">
    <w:name w:val="S_Обычный Знак Знак Знак Знак Знак"/>
    <w:link w:val="Sb"/>
    <w:rsid w:val="0042058C"/>
    <w:rPr>
      <w:rFonts w:ascii="Times New Roman" w:eastAsia="Times New Roman" w:hAnsi="Times New Roman" w:cs="Times New Roman"/>
      <w:sz w:val="24"/>
      <w:szCs w:val="24"/>
      <w:lang w:eastAsia="ru-RU"/>
    </w:rPr>
  </w:style>
  <w:style w:type="paragraph" w:customStyle="1" w:styleId="Sd">
    <w:name w:val="Стиль S_Маркированный+Обычный + Междустр.интервал:  полуторный"/>
    <w:basedOn w:val="Sa"/>
    <w:autoRedefine/>
    <w:rsid w:val="0042058C"/>
    <w:pPr>
      <w:tabs>
        <w:tab w:val="num" w:pos="851"/>
      </w:tabs>
      <w:ind w:firstLine="284"/>
      <w:jc w:val="left"/>
    </w:pPr>
    <w:rPr>
      <w:w w:val="100"/>
      <w:szCs w:val="20"/>
    </w:rPr>
  </w:style>
  <w:style w:type="paragraph" w:customStyle="1" w:styleId="Se">
    <w:name w:val="S_Обычный_Жирный"/>
    <w:basedOn w:val="a7"/>
    <w:rsid w:val="0042058C"/>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42058C"/>
  </w:style>
  <w:style w:type="paragraph" w:customStyle="1" w:styleId="S">
    <w:name w:val="S_Маркированный+Обычеый"/>
    <w:basedOn w:val="affffffe"/>
    <w:autoRedefine/>
    <w:rsid w:val="0042058C"/>
    <w:pPr>
      <w:numPr>
        <w:numId w:val="72"/>
      </w:numPr>
      <w:contextualSpacing w:val="0"/>
    </w:pPr>
    <w:rPr>
      <w:w w:val="109"/>
    </w:rPr>
  </w:style>
  <w:style w:type="paragraph" w:customStyle="1" w:styleId="1ffa">
    <w:name w:val="Заголовок оглавления1"/>
    <w:basedOn w:val="15"/>
    <w:next w:val="a7"/>
    <w:uiPriority w:val="39"/>
    <w:qFormat/>
    <w:rsid w:val="0042058C"/>
    <w:pPr>
      <w:tabs>
        <w:tab w:val="left" w:pos="567"/>
        <w:tab w:val="num" w:pos="935"/>
      </w:tabs>
      <w:spacing w:line="240" w:lineRule="auto"/>
      <w:ind w:left="935" w:hanging="283"/>
      <w:outlineLvl w:val="9"/>
    </w:pPr>
    <w:rPr>
      <w:rFonts w:ascii="Cambria" w:eastAsia="Times New Roman" w:hAnsi="Cambria" w:cs="Times New Roman"/>
      <w:color w:val="365F91"/>
      <w:lang w:eastAsia="ru-RU"/>
    </w:rPr>
  </w:style>
  <w:style w:type="numbering" w:customStyle="1" w:styleId="1111111">
    <w:name w:val="1 / 1.1 / 1.1.11"/>
    <w:basedOn w:val="aa"/>
    <w:next w:val="1111110"/>
    <w:rsid w:val="0042058C"/>
    <w:pPr>
      <w:numPr>
        <w:numId w:val="61"/>
      </w:numPr>
    </w:pPr>
  </w:style>
  <w:style w:type="numbering" w:customStyle="1" w:styleId="1ai1">
    <w:name w:val="1 / a / i1"/>
    <w:basedOn w:val="aa"/>
    <w:next w:val="1ai"/>
    <w:rsid w:val="0042058C"/>
    <w:pPr>
      <w:numPr>
        <w:numId w:val="62"/>
      </w:numPr>
    </w:pPr>
  </w:style>
  <w:style w:type="numbering" w:customStyle="1" w:styleId="1">
    <w:name w:val="Статья / Раздел1"/>
    <w:basedOn w:val="aa"/>
    <w:next w:val="a2"/>
    <w:rsid w:val="0042058C"/>
    <w:pPr>
      <w:numPr>
        <w:numId w:val="65"/>
      </w:numPr>
    </w:pPr>
  </w:style>
  <w:style w:type="paragraph" w:customStyle="1" w:styleId="afffffffff5">
    <w:name w:val="Табличный_справа"/>
    <w:basedOn w:val="a7"/>
    <w:uiPriority w:val="99"/>
    <w:rsid w:val="0042058C"/>
    <w:pPr>
      <w:spacing w:after="0" w:line="240" w:lineRule="auto"/>
      <w:jc w:val="right"/>
    </w:pPr>
    <w:rPr>
      <w:rFonts w:ascii="Times New Roman" w:eastAsia="Times New Roman" w:hAnsi="Times New Roman" w:cs="Times New Roman"/>
      <w:lang w:eastAsia="ru-RU"/>
    </w:rPr>
  </w:style>
  <w:style w:type="character" w:customStyle="1" w:styleId="bodytext">
    <w:name w:val="body text Знак"/>
    <w:uiPriority w:val="99"/>
    <w:rsid w:val="0042058C"/>
    <w:rPr>
      <w:rFonts w:ascii="Arial" w:hAnsi="Arial"/>
      <w:sz w:val="22"/>
      <w:szCs w:val="24"/>
      <w:lang w:val="en-US"/>
    </w:rPr>
  </w:style>
  <w:style w:type="paragraph" w:customStyle="1" w:styleId="1ffb">
    <w:name w:val="Обычный1"/>
    <w:uiPriority w:val="99"/>
    <w:rsid w:val="0042058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ffff6">
    <w:name w:val="Основной текст продолжение"/>
    <w:basedOn w:val="a7"/>
    <w:next w:val="aff9"/>
    <w:link w:val="1ffc"/>
    <w:rsid w:val="0042058C"/>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42058C"/>
    <w:pPr>
      <w:numPr>
        <w:numId w:val="67"/>
      </w:numPr>
    </w:pPr>
  </w:style>
  <w:style w:type="character" w:customStyle="1" w:styleId="1ffc">
    <w:name w:val="Основной текст продолжение Знак1"/>
    <w:link w:val="afffffffff6"/>
    <w:rsid w:val="0042058C"/>
    <w:rPr>
      <w:rFonts w:ascii="Times New Roman" w:eastAsia="Times New Roman" w:hAnsi="Times New Roman" w:cs="Times New Roman"/>
      <w:sz w:val="24"/>
      <w:szCs w:val="20"/>
      <w:lang w:eastAsia="ru-RU"/>
    </w:rPr>
  </w:style>
  <w:style w:type="character" w:customStyle="1" w:styleId="apple-converted-space">
    <w:name w:val="apple-converted-space"/>
    <w:rsid w:val="0042058C"/>
  </w:style>
  <w:style w:type="paragraph" w:customStyle="1" w:styleId="xl75">
    <w:name w:val="xl75"/>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7"/>
    <w:rsid w:val="0042058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7"/>
    <w:rsid w:val="0042058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7"/>
    <w:rsid w:val="0042058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7"/>
    <w:rsid w:val="0042058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7"/>
    <w:rsid w:val="004205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112">
    <w:name w:val="1 / 1.1 / 1.1.12"/>
    <w:basedOn w:val="aa"/>
    <w:next w:val="1111110"/>
    <w:rsid w:val="0042058C"/>
  </w:style>
  <w:style w:type="numbering" w:customStyle="1" w:styleId="1ai2">
    <w:name w:val="1 / a / i2"/>
    <w:basedOn w:val="aa"/>
    <w:next w:val="1ai"/>
    <w:rsid w:val="0042058C"/>
    <w:pPr>
      <w:numPr>
        <w:numId w:val="63"/>
      </w:numPr>
    </w:pPr>
  </w:style>
  <w:style w:type="table" w:customStyle="1" w:styleId="-11">
    <w:name w:val="Веб-таблица 11"/>
    <w:basedOn w:val="a9"/>
    <w:next w:val="-1"/>
    <w:rsid w:val="0042058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rsid w:val="0042058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42058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9"/>
    <w:next w:val="affffffff6"/>
    <w:rsid w:val="0042058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9"/>
    <w:next w:val="1ff2"/>
    <w:rsid w:val="0042058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9"/>
    <w:next w:val="2fe"/>
    <w:rsid w:val="0042058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9"/>
    <w:next w:val="1ff3"/>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9"/>
    <w:next w:val="2ff"/>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9"/>
    <w:next w:val="3e"/>
    <w:rsid w:val="0042058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9"/>
    <w:next w:val="4c"/>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9"/>
    <w:next w:val="1ff4"/>
    <w:rsid w:val="0042058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9"/>
    <w:next w:val="2ff0"/>
    <w:rsid w:val="0042058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9"/>
    <w:next w:val="3f"/>
    <w:rsid w:val="0042058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9"/>
    <w:next w:val="1ff5"/>
    <w:rsid w:val="0042058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9"/>
    <w:next w:val="2ff1"/>
    <w:rsid w:val="0042058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9"/>
    <w:next w:val="3f0"/>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9"/>
    <w:next w:val="1ff6"/>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9"/>
    <w:next w:val="2ff2"/>
    <w:rsid w:val="0042058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9"/>
    <w:next w:val="3f1"/>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9"/>
    <w:next w:val="4d"/>
    <w:rsid w:val="0042058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9"/>
    <w:next w:val="58"/>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9"/>
    <w:next w:val="63"/>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42058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9"/>
    <w:next w:val="85"/>
    <w:rsid w:val="0042058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9"/>
    <w:next w:val="affffffff7"/>
    <w:rsid w:val="0042058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9"/>
    <w:next w:val="affffffff8"/>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3">
    <w:name w:val="Статья / Раздел2"/>
    <w:basedOn w:val="aa"/>
    <w:next w:val="a2"/>
    <w:rsid w:val="0042058C"/>
    <w:pPr>
      <w:numPr>
        <w:numId w:val="68"/>
      </w:numPr>
    </w:pPr>
  </w:style>
  <w:style w:type="table" w:customStyle="1" w:styleId="11b">
    <w:name w:val="Столбцы таблицы 11"/>
    <w:basedOn w:val="a9"/>
    <w:next w:val="1ff7"/>
    <w:rsid w:val="0042058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f3"/>
    <w:rsid w:val="0042058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9"/>
    <w:next w:val="3f2"/>
    <w:rsid w:val="0042058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9"/>
    <w:next w:val="4e"/>
    <w:rsid w:val="0042058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9"/>
    <w:next w:val="59"/>
    <w:rsid w:val="0042058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2"/>
    <w:rsid w:val="0042058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4205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42058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42058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9"/>
    <w:next w:val="affffffff9"/>
    <w:rsid w:val="004205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Цветная таблица 11"/>
    <w:basedOn w:val="a9"/>
    <w:next w:val="1ff8"/>
    <w:rsid w:val="0042058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9"/>
    <w:next w:val="2ff4"/>
    <w:rsid w:val="0042058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9"/>
    <w:next w:val="3f3"/>
    <w:rsid w:val="0042058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42058C"/>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ts-hit">
    <w:name w:val="fts-hit"/>
    <w:rsid w:val="0042058C"/>
  </w:style>
  <w:style w:type="character" w:customStyle="1" w:styleId="c1">
    <w:name w:val="c1"/>
    <w:rsid w:val="0042058C"/>
  </w:style>
  <w:style w:type="paragraph" w:customStyle="1" w:styleId="13">
    <w:name w:val="_ЗАГОЛОВОК 1"/>
    <w:basedOn w:val="a7"/>
    <w:link w:val="1fff1"/>
    <w:autoRedefine/>
    <w:uiPriority w:val="99"/>
    <w:qFormat/>
    <w:rsid w:val="0042058C"/>
    <w:pPr>
      <w:keepNext/>
      <w:pageBreakBefore/>
      <w:numPr>
        <w:numId w:val="67"/>
      </w:numPr>
      <w:spacing w:before="120" w:after="120" w:line="240" w:lineRule="auto"/>
      <w:jc w:val="center"/>
    </w:pPr>
    <w:rPr>
      <w:rFonts w:ascii="Times New Roman" w:eastAsia="Times New Roman" w:hAnsi="Times New Roman" w:cs="Times New Roman"/>
      <w:b/>
      <w:caps/>
      <w:sz w:val="24"/>
      <w:lang w:eastAsia="ru-RU"/>
    </w:rPr>
  </w:style>
  <w:style w:type="character" w:customStyle="1" w:styleId="1fff1">
    <w:name w:val="_ЗАГОЛОВОК 1 Знак"/>
    <w:link w:val="13"/>
    <w:uiPriority w:val="99"/>
    <w:rsid w:val="0042058C"/>
    <w:rPr>
      <w:rFonts w:ascii="Times New Roman" w:eastAsia="Times New Roman" w:hAnsi="Times New Roman" w:cs="Times New Roman"/>
      <w:b/>
      <w:caps/>
      <w:sz w:val="24"/>
      <w:lang w:eastAsia="ru-RU"/>
    </w:rPr>
  </w:style>
  <w:style w:type="paragraph" w:customStyle="1" w:styleId="22">
    <w:name w:val="_ЗАГОЛОВОК 2"/>
    <w:basedOn w:val="a7"/>
    <w:autoRedefine/>
    <w:uiPriority w:val="99"/>
    <w:qFormat/>
    <w:rsid w:val="0042058C"/>
    <w:pPr>
      <w:keepNext/>
      <w:numPr>
        <w:ilvl w:val="1"/>
        <w:numId w:val="67"/>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1">
    <w:name w:val="_ЗАГОЛОВОК 3"/>
    <w:basedOn w:val="a7"/>
    <w:autoRedefine/>
    <w:uiPriority w:val="99"/>
    <w:qFormat/>
    <w:rsid w:val="0042058C"/>
    <w:pPr>
      <w:numPr>
        <w:ilvl w:val="2"/>
        <w:numId w:val="67"/>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42058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0">
    <w:name w:val="Стиль4"/>
    <w:basedOn w:val="S5"/>
    <w:uiPriority w:val="99"/>
    <w:qFormat/>
    <w:rsid w:val="0042058C"/>
    <w:pPr>
      <w:suppressAutoHyphens/>
      <w:spacing w:line="240" w:lineRule="auto"/>
    </w:pPr>
    <w:rPr>
      <w:rFonts w:eastAsia="Calibri"/>
      <w:b/>
      <w:sz w:val="20"/>
      <w:szCs w:val="20"/>
      <w:lang w:eastAsia="ar-SA"/>
    </w:rPr>
  </w:style>
  <w:style w:type="character" w:customStyle="1" w:styleId="4f1">
    <w:name w:val="Основной текст4"/>
    <w:rsid w:val="0042058C"/>
    <w:rPr>
      <w:rFonts w:ascii="Book Antiqua" w:eastAsia="Book Antiqua" w:hAnsi="Book Antiqua" w:cs="Book Antiqua"/>
      <w:spacing w:val="-1"/>
      <w:sz w:val="19"/>
      <w:szCs w:val="19"/>
      <w:shd w:val="clear" w:color="auto" w:fill="FFFFFF"/>
    </w:rPr>
  </w:style>
  <w:style w:type="paragraph" w:customStyle="1" w:styleId="87">
    <w:name w:val="Основной текст8"/>
    <w:basedOn w:val="a7"/>
    <w:rsid w:val="0042058C"/>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5">
    <w:name w:val="Основной текст (3)_"/>
    <w:link w:val="3f6"/>
    <w:rsid w:val="0042058C"/>
    <w:rPr>
      <w:rFonts w:ascii="Book Antiqua" w:eastAsia="Book Antiqua" w:hAnsi="Book Antiqua" w:cs="Book Antiqua"/>
      <w:sz w:val="18"/>
      <w:szCs w:val="18"/>
      <w:shd w:val="clear" w:color="auto" w:fill="FFFFFF"/>
    </w:rPr>
  </w:style>
  <w:style w:type="character" w:customStyle="1" w:styleId="4f2">
    <w:name w:val="Основной текст (4)_"/>
    <w:uiPriority w:val="99"/>
    <w:rsid w:val="0042058C"/>
    <w:rPr>
      <w:rFonts w:ascii="Book Antiqua" w:eastAsia="Book Antiqua" w:hAnsi="Book Antiqua" w:cs="Book Antiqua"/>
      <w:b w:val="0"/>
      <w:bCs w:val="0"/>
      <w:i w:val="0"/>
      <w:iCs w:val="0"/>
      <w:smallCaps w:val="0"/>
      <w:strike w:val="0"/>
      <w:spacing w:val="-1"/>
      <w:sz w:val="19"/>
      <w:szCs w:val="19"/>
    </w:rPr>
  </w:style>
  <w:style w:type="character" w:customStyle="1" w:styleId="3f7">
    <w:name w:val="Основной текст (3) + Не полужирный"/>
    <w:rsid w:val="0042058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42058C"/>
    <w:rPr>
      <w:rFonts w:ascii="Book Antiqua" w:eastAsia="Book Antiqua" w:hAnsi="Book Antiqua" w:cs="Book Antiqua"/>
      <w:b/>
      <w:bCs/>
      <w:i/>
      <w:iCs/>
      <w:spacing w:val="-4"/>
      <w:sz w:val="19"/>
      <w:szCs w:val="19"/>
      <w:shd w:val="clear" w:color="auto" w:fill="FFFFFF"/>
    </w:rPr>
  </w:style>
  <w:style w:type="character" w:customStyle="1" w:styleId="4f3">
    <w:name w:val="Основной текст (4)"/>
    <w:rsid w:val="0042058C"/>
    <w:rPr>
      <w:rFonts w:ascii="Book Antiqua" w:eastAsia="Book Antiqua" w:hAnsi="Book Antiqua" w:cs="Book Antiqua"/>
      <w:b w:val="0"/>
      <w:bCs w:val="0"/>
      <w:i w:val="0"/>
      <w:iCs w:val="0"/>
      <w:smallCaps w:val="0"/>
      <w:strike w:val="0"/>
      <w:spacing w:val="-1"/>
      <w:sz w:val="18"/>
      <w:szCs w:val="18"/>
    </w:rPr>
  </w:style>
  <w:style w:type="character" w:customStyle="1" w:styleId="afffffffff7">
    <w:name w:val="Основной текст + Полужирный"/>
    <w:rsid w:val="0042058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42058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6">
    <w:name w:val="Основной текст (3)"/>
    <w:basedOn w:val="a7"/>
    <w:link w:val="3f5"/>
    <w:rsid w:val="0042058C"/>
    <w:pPr>
      <w:shd w:val="clear" w:color="auto" w:fill="FFFFFF"/>
      <w:spacing w:after="0" w:line="245" w:lineRule="exact"/>
    </w:pPr>
    <w:rPr>
      <w:rFonts w:ascii="Book Antiqua" w:eastAsia="Book Antiqua" w:hAnsi="Book Antiqua" w:cs="Book Antiqua"/>
      <w:sz w:val="18"/>
      <w:szCs w:val="18"/>
    </w:rPr>
  </w:style>
  <w:style w:type="character" w:customStyle="1" w:styleId="94">
    <w:name w:val="Основной текст (9)_"/>
    <w:rsid w:val="0042058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42058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42058C"/>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42058C"/>
    <w:rPr>
      <w:rFonts w:ascii="Book Antiqua" w:eastAsia="Book Antiqua" w:hAnsi="Book Antiqua" w:cs="Book Antiqua"/>
      <w:sz w:val="23"/>
      <w:szCs w:val="23"/>
      <w:shd w:val="clear" w:color="auto" w:fill="FFFFFF"/>
    </w:rPr>
  </w:style>
  <w:style w:type="paragraph" w:customStyle="1" w:styleId="161">
    <w:name w:val="Основной текст (16)"/>
    <w:basedOn w:val="a7"/>
    <w:link w:val="160"/>
    <w:rsid w:val="0042058C"/>
    <w:pPr>
      <w:shd w:val="clear" w:color="auto" w:fill="FFFFFF"/>
      <w:spacing w:before="60" w:after="0" w:line="0" w:lineRule="atLeast"/>
    </w:pPr>
    <w:rPr>
      <w:rFonts w:ascii="Book Antiqua" w:eastAsia="Book Antiqua" w:hAnsi="Book Antiqua" w:cs="Book Antiqua"/>
      <w:sz w:val="23"/>
      <w:szCs w:val="23"/>
    </w:rPr>
  </w:style>
  <w:style w:type="character" w:customStyle="1" w:styleId="930">
    <w:name w:val="Основной текст (9)3"/>
    <w:uiPriority w:val="99"/>
    <w:rsid w:val="0042058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42058C"/>
    <w:rPr>
      <w:rFonts w:ascii="Times New Roman" w:eastAsia="Book Antiqua" w:hAnsi="Times New Roman" w:cs="Times New Roman"/>
      <w:b/>
      <w:bCs/>
      <w:i/>
      <w:iCs/>
      <w:smallCaps w:val="0"/>
      <w:strike w:val="0"/>
      <w:spacing w:val="-20"/>
      <w:sz w:val="20"/>
      <w:szCs w:val="20"/>
    </w:rPr>
  </w:style>
  <w:style w:type="paragraph" w:customStyle="1" w:styleId="afffffffff8">
    <w:name w:val="Ñòèëü"/>
    <w:uiPriority w:val="99"/>
    <w:rsid w:val="0042058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4205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42058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7"/>
    <w:uiPriority w:val="99"/>
    <w:rsid w:val="0042058C"/>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ConsNonformat">
    <w:name w:val="ConsNonformat"/>
    <w:uiPriority w:val="99"/>
    <w:rsid w:val="004205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2058C"/>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customStyle="1" w:styleId="2ff6">
    <w:name w:val="З2"/>
    <w:basedOn w:val="a7"/>
    <w:next w:val="a7"/>
    <w:uiPriority w:val="99"/>
    <w:rsid w:val="0042058C"/>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42058C"/>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7"/>
    <w:uiPriority w:val="99"/>
    <w:rsid w:val="0042058C"/>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ffffffff9">
    <w:name w:val="Îñíîâíîé òåêñò"/>
    <w:basedOn w:val="a7"/>
    <w:uiPriority w:val="99"/>
    <w:rsid w:val="0042058C"/>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ffffa">
    <w:name w:val="пп"/>
    <w:basedOn w:val="a7"/>
    <w:uiPriority w:val="99"/>
    <w:rsid w:val="0042058C"/>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fff2">
    <w:name w:val="çàãîëîâîê 1"/>
    <w:basedOn w:val="affe"/>
    <w:next w:val="affe"/>
    <w:uiPriority w:val="99"/>
    <w:rsid w:val="0042058C"/>
    <w:pPr>
      <w:overflowPunct/>
      <w:autoSpaceDE/>
      <w:autoSpaceDN/>
      <w:adjustRightInd/>
      <w:textAlignment w:val="auto"/>
    </w:pPr>
    <w:rPr>
      <w:lang w:val="en-US"/>
    </w:rPr>
  </w:style>
  <w:style w:type="paragraph" w:customStyle="1" w:styleId="3f8">
    <w:name w:val="Îñíîâíîé òåêñò ñ îòñòóïîì 3"/>
    <w:basedOn w:val="affe"/>
    <w:uiPriority w:val="99"/>
    <w:rsid w:val="0042058C"/>
    <w:pPr>
      <w:overflowPunct/>
      <w:autoSpaceDE/>
      <w:autoSpaceDN/>
      <w:adjustRightInd/>
      <w:textAlignment w:val="auto"/>
    </w:pPr>
    <w:rPr>
      <w:lang w:val="en-US"/>
    </w:rPr>
  </w:style>
  <w:style w:type="paragraph" w:customStyle="1" w:styleId="21e">
    <w:name w:val="Основной текст 21"/>
    <w:basedOn w:val="affe"/>
    <w:uiPriority w:val="99"/>
    <w:rsid w:val="0042058C"/>
    <w:pPr>
      <w:overflowPunct/>
      <w:autoSpaceDE/>
      <w:autoSpaceDN/>
      <w:adjustRightInd/>
      <w:textAlignment w:val="auto"/>
    </w:pPr>
    <w:rPr>
      <w:lang w:val="en-US"/>
    </w:rPr>
  </w:style>
  <w:style w:type="paragraph" w:customStyle="1" w:styleId="afffffffffb">
    <w:name w:val="Адресат"/>
    <w:basedOn w:val="a7"/>
    <w:next w:val="a7"/>
    <w:uiPriority w:val="99"/>
    <w:rsid w:val="0042058C"/>
    <w:pPr>
      <w:spacing w:after="0" w:line="240" w:lineRule="auto"/>
      <w:ind w:left="5670"/>
    </w:pPr>
    <w:rPr>
      <w:rFonts w:ascii="Times New Roman" w:eastAsia="Times New Roman" w:hAnsi="Times New Roman" w:cs="Times New Roman"/>
      <w:sz w:val="24"/>
      <w:szCs w:val="20"/>
      <w:lang w:val="en-US" w:eastAsia="ru-RU"/>
    </w:rPr>
  </w:style>
  <w:style w:type="paragraph" w:customStyle="1" w:styleId="HTML10">
    <w:name w:val="Стандартный HTML1"/>
    <w:basedOn w:val="1ffb"/>
    <w:uiPriority w:val="99"/>
    <w:rsid w:val="00420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f3">
    <w:name w:val="З1"/>
    <w:basedOn w:val="a7"/>
    <w:next w:val="a7"/>
    <w:uiPriority w:val="99"/>
    <w:rsid w:val="0042058C"/>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1fff4">
    <w:name w:val="Основной текст с отступом1"/>
    <w:basedOn w:val="a7"/>
    <w:uiPriority w:val="99"/>
    <w:rsid w:val="0042058C"/>
    <w:pPr>
      <w:spacing w:after="120" w:line="240" w:lineRule="auto"/>
      <w:ind w:left="283"/>
    </w:pPr>
    <w:rPr>
      <w:rFonts w:ascii="Times New Roman" w:eastAsia="Times New Roman" w:hAnsi="Times New Roman" w:cs="Times New Roman"/>
      <w:sz w:val="24"/>
      <w:szCs w:val="24"/>
      <w:lang w:eastAsia="ru-RU"/>
    </w:rPr>
  </w:style>
  <w:style w:type="paragraph" w:customStyle="1" w:styleId="mcwolf">
    <w:name w:val="mcwolf"/>
    <w:basedOn w:val="a7"/>
    <w:uiPriority w:val="99"/>
    <w:rsid w:val="0042058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7"/>
    <w:uiPriority w:val="99"/>
    <w:rsid w:val="0042058C"/>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paragraph" w:customStyle="1" w:styleId="snip">
    <w:name w:val="snip"/>
    <w:basedOn w:val="a7"/>
    <w:uiPriority w:val="99"/>
    <w:rsid w:val="0042058C"/>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7"/>
    <w:uiPriority w:val="99"/>
    <w:rsid w:val="0042058C"/>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7"/>
    <w:uiPriority w:val="99"/>
    <w:rsid w:val="0042058C"/>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7"/>
    <w:uiPriority w:val="99"/>
    <w:rsid w:val="0042058C"/>
    <w:pPr>
      <w:spacing w:after="0" w:line="240" w:lineRule="auto"/>
    </w:pPr>
    <w:rPr>
      <w:rFonts w:ascii="Arial" w:eastAsia="Arial Unicode MS" w:hAnsi="Arial" w:cs="Arial"/>
      <w:b/>
      <w:bCs/>
      <w:lang w:eastAsia="ru-RU"/>
    </w:rPr>
  </w:style>
  <w:style w:type="paragraph" w:customStyle="1" w:styleId="textn">
    <w:name w:val="textn"/>
    <w:basedOn w:val="a7"/>
    <w:uiPriority w:val="99"/>
    <w:rsid w:val="0042058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7"/>
    <w:uiPriority w:val="99"/>
    <w:rsid w:val="0042058C"/>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7"/>
    <w:uiPriority w:val="99"/>
    <w:rsid w:val="0042058C"/>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7"/>
    <w:uiPriority w:val="99"/>
    <w:rsid w:val="0042058C"/>
    <w:pPr>
      <w:spacing w:after="0" w:line="240" w:lineRule="auto"/>
      <w:jc w:val="center"/>
    </w:pPr>
    <w:rPr>
      <w:rFonts w:ascii="Arial CYR" w:eastAsia="Arial Unicode MS" w:hAnsi="Arial CYR" w:cs="Arial CYR"/>
      <w:color w:val="000000"/>
      <w:sz w:val="14"/>
      <w:szCs w:val="14"/>
      <w:lang w:eastAsia="ru-RU"/>
    </w:rPr>
  </w:style>
  <w:style w:type="paragraph" w:customStyle="1" w:styleId="414">
    <w:name w:val="Заголовок 41"/>
    <w:basedOn w:val="a7"/>
    <w:uiPriority w:val="99"/>
    <w:rsid w:val="0042058C"/>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7"/>
    <w:uiPriority w:val="99"/>
    <w:rsid w:val="0042058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7"/>
    <w:uiPriority w:val="99"/>
    <w:rsid w:val="0042058C"/>
    <w:pPr>
      <w:spacing w:after="0" w:line="240" w:lineRule="auto"/>
    </w:pPr>
    <w:rPr>
      <w:rFonts w:ascii="Arial" w:eastAsia="Arial Unicode MS" w:hAnsi="Arial" w:cs="Arial"/>
      <w:i/>
      <w:iCs/>
      <w:sz w:val="20"/>
      <w:szCs w:val="20"/>
      <w:lang w:eastAsia="ru-RU"/>
    </w:rPr>
  </w:style>
  <w:style w:type="paragraph" w:customStyle="1" w:styleId="textp">
    <w:name w:val="textp"/>
    <w:basedOn w:val="a7"/>
    <w:uiPriority w:val="99"/>
    <w:rsid w:val="0042058C"/>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7"/>
    <w:uiPriority w:val="99"/>
    <w:rsid w:val="0042058C"/>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7"/>
    <w:uiPriority w:val="99"/>
    <w:rsid w:val="0042058C"/>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7"/>
    <w:uiPriority w:val="99"/>
    <w:rsid w:val="0042058C"/>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7"/>
    <w:uiPriority w:val="99"/>
    <w:rsid w:val="0042058C"/>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7"/>
    <w:uiPriority w:val="99"/>
    <w:rsid w:val="0042058C"/>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7"/>
    <w:uiPriority w:val="99"/>
    <w:rsid w:val="0042058C"/>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7"/>
    <w:uiPriority w:val="99"/>
    <w:rsid w:val="0042058C"/>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7"/>
    <w:uiPriority w:val="99"/>
    <w:rsid w:val="0042058C"/>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7"/>
    <w:uiPriority w:val="99"/>
    <w:rsid w:val="0042058C"/>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0">
    <w:name w:val="se"/>
    <w:basedOn w:val="a7"/>
    <w:uiPriority w:val="99"/>
    <w:rsid w:val="0042058C"/>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7"/>
    <w:uiPriority w:val="99"/>
    <w:rsid w:val="0042058C"/>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20">
    <w:name w:val="Заголовок 22"/>
    <w:basedOn w:val="a7"/>
    <w:uiPriority w:val="99"/>
    <w:rsid w:val="0042058C"/>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fff5">
    <w:name w:val="Просмотренная гиперссылка1"/>
    <w:rsid w:val="0042058C"/>
    <w:rPr>
      <w:strike w:val="0"/>
      <w:dstrike w:val="0"/>
      <w:color w:val="FFFFFF"/>
      <w:u w:val="none"/>
      <w:effect w:val="none"/>
    </w:rPr>
  </w:style>
  <w:style w:type="character" w:customStyle="1" w:styleId="2ff7">
    <w:name w:val="Просмотренная гиперссылка2"/>
    <w:rsid w:val="0042058C"/>
    <w:rPr>
      <w:color w:val="575757"/>
      <w:u w:val="single"/>
    </w:rPr>
  </w:style>
  <w:style w:type="character" w:customStyle="1" w:styleId="3f9">
    <w:name w:val="Просмотренная гиперссылка3"/>
    <w:rsid w:val="0042058C"/>
    <w:rPr>
      <w:color w:val="FFFFFF"/>
      <w:u w:val="single"/>
    </w:rPr>
  </w:style>
  <w:style w:type="paragraph" w:customStyle="1" w:styleId="p2">
    <w:name w:val="p2"/>
    <w:basedOn w:val="a7"/>
    <w:uiPriority w:val="99"/>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7"/>
    <w:uiPriority w:val="99"/>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Основной текст с отступом2"/>
    <w:basedOn w:val="a7"/>
    <w:uiPriority w:val="99"/>
    <w:rsid w:val="0042058C"/>
    <w:pPr>
      <w:spacing w:after="120" w:line="240" w:lineRule="auto"/>
      <w:ind w:left="283"/>
    </w:pPr>
    <w:rPr>
      <w:rFonts w:ascii="Times New Roman" w:eastAsia="Times New Roman" w:hAnsi="Times New Roman" w:cs="Times New Roman"/>
      <w:sz w:val="24"/>
      <w:szCs w:val="24"/>
      <w:lang w:eastAsia="ru-RU"/>
    </w:rPr>
  </w:style>
  <w:style w:type="character" w:customStyle="1" w:styleId="PEStyleFont8">
    <w:name w:val="PEStyleFont8"/>
    <w:rsid w:val="0042058C"/>
    <w:rPr>
      <w:rFonts w:ascii="Arial CYR" w:hAnsi="Arial CYR"/>
      <w:spacing w:val="0"/>
      <w:position w:val="0"/>
      <w:sz w:val="16"/>
      <w:u w:val="none"/>
    </w:rPr>
  </w:style>
  <w:style w:type="character" w:customStyle="1" w:styleId="PEStyleFont6">
    <w:name w:val="PEStyleFont6"/>
    <w:rsid w:val="0042058C"/>
    <w:rPr>
      <w:rFonts w:ascii="Arial CYR" w:hAnsi="Arial CYR"/>
      <w:b/>
      <w:spacing w:val="0"/>
      <w:position w:val="0"/>
      <w:sz w:val="16"/>
      <w:u w:val="none"/>
    </w:rPr>
  </w:style>
  <w:style w:type="character" w:customStyle="1" w:styleId="PEStyleFont4">
    <w:name w:val="PEStyleFont4"/>
    <w:rsid w:val="0042058C"/>
    <w:rPr>
      <w:rFonts w:ascii="Arial CYR" w:hAnsi="Arial CYR"/>
      <w:b/>
      <w:i/>
      <w:spacing w:val="0"/>
      <w:position w:val="0"/>
      <w:sz w:val="28"/>
      <w:u w:val="none"/>
    </w:rPr>
  </w:style>
  <w:style w:type="paragraph" w:customStyle="1" w:styleId="PEStylePara2">
    <w:name w:val="PEStylePara2"/>
    <w:basedOn w:val="a7"/>
    <w:next w:val="a7"/>
    <w:uiPriority w:val="99"/>
    <w:rsid w:val="0042058C"/>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42058C"/>
    <w:rPr>
      <w:rFonts w:ascii="Times New Roman" w:hAnsi="Times New Roman" w:cs="Times New Roman"/>
      <w:sz w:val="26"/>
      <w:szCs w:val="26"/>
    </w:rPr>
  </w:style>
  <w:style w:type="paragraph" w:customStyle="1" w:styleId="Style18">
    <w:name w:val="Style18"/>
    <w:basedOn w:val="a7"/>
    <w:uiPriority w:val="99"/>
    <w:rsid w:val="0042058C"/>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eastAsia="ru-RU"/>
    </w:rPr>
  </w:style>
  <w:style w:type="character" w:customStyle="1" w:styleId="FontStyle206">
    <w:name w:val="Font Style206"/>
    <w:uiPriority w:val="99"/>
    <w:rsid w:val="0042058C"/>
    <w:rPr>
      <w:rFonts w:ascii="Times New Roman" w:hAnsi="Times New Roman" w:cs="Times New Roman"/>
      <w:spacing w:val="10"/>
      <w:sz w:val="24"/>
      <w:szCs w:val="24"/>
    </w:rPr>
  </w:style>
  <w:style w:type="paragraph" w:customStyle="1" w:styleId="Style175">
    <w:name w:val="Style175"/>
    <w:basedOn w:val="a7"/>
    <w:uiPriority w:val="99"/>
    <w:rsid w:val="004205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a">
    <w:name w:val="Основной текст с отступом3"/>
    <w:basedOn w:val="a7"/>
    <w:uiPriority w:val="99"/>
    <w:rsid w:val="0042058C"/>
    <w:pPr>
      <w:spacing w:after="120" w:line="240" w:lineRule="auto"/>
      <w:ind w:left="283"/>
    </w:pPr>
    <w:rPr>
      <w:rFonts w:ascii="Times New Roman" w:eastAsia="Times New Roman" w:hAnsi="Times New Roman" w:cs="Times New Roman"/>
      <w:sz w:val="24"/>
      <w:szCs w:val="24"/>
      <w:lang w:eastAsia="ru-RU"/>
    </w:rPr>
  </w:style>
  <w:style w:type="paragraph" w:customStyle="1" w:styleId="3fb">
    <w:name w:val="Обычный3"/>
    <w:link w:val="Normal"/>
    <w:rsid w:val="0042058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
    <w:name w:val="Normal Знак"/>
    <w:link w:val="3fb"/>
    <w:locked/>
    <w:rsid w:val="0042058C"/>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42058C"/>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42058C"/>
    <w:rPr>
      <w:rFonts w:ascii="Times New Roman" w:eastAsia="Times New Roman" w:hAnsi="Times New Roman" w:cs="Times New Roman"/>
      <w:snapToGrid w:val="0"/>
      <w:sz w:val="24"/>
      <w:szCs w:val="20"/>
      <w:lang w:eastAsia="ru-RU"/>
    </w:rPr>
  </w:style>
  <w:style w:type="paragraph" w:customStyle="1" w:styleId="afffffffffc">
    <w:name w:val="Название предприятия"/>
    <w:basedOn w:val="a7"/>
    <w:next w:val="afffffff8"/>
    <w:uiPriority w:val="99"/>
    <w:rsid w:val="0042058C"/>
    <w:pPr>
      <w:spacing w:before="100" w:after="600" w:line="600" w:lineRule="atLeast"/>
      <w:ind w:left="840" w:right="-360"/>
    </w:pPr>
    <w:rPr>
      <w:rFonts w:ascii="Times New Roman" w:eastAsia="Times New Roman" w:hAnsi="Times New Roman" w:cs="Times New Roman"/>
      <w:spacing w:val="-34"/>
      <w:sz w:val="60"/>
      <w:szCs w:val="20"/>
      <w:lang w:bidi="he-IL"/>
    </w:rPr>
  </w:style>
  <w:style w:type="paragraph" w:customStyle="1" w:styleId="2ff9">
    <w:name w:val="çàãîëîâîê 2"/>
    <w:basedOn w:val="a7"/>
    <w:next w:val="a7"/>
    <w:uiPriority w:val="99"/>
    <w:rsid w:val="0042058C"/>
    <w:pPr>
      <w:keepNext/>
      <w:widowControl w:val="0"/>
      <w:autoSpaceDE w:val="0"/>
      <w:autoSpaceDN w:val="0"/>
      <w:adjustRightInd w:val="0"/>
      <w:spacing w:after="0" w:line="240" w:lineRule="auto"/>
    </w:pPr>
    <w:rPr>
      <w:rFonts w:ascii="Courier New" w:eastAsia="Times New Roman" w:hAnsi="Courier New" w:cs="Courier New"/>
      <w:i/>
      <w:iCs/>
      <w:sz w:val="28"/>
      <w:szCs w:val="28"/>
      <w:u w:val="single"/>
      <w:lang w:eastAsia="ru-RU"/>
    </w:rPr>
  </w:style>
  <w:style w:type="paragraph" w:customStyle="1" w:styleId="122">
    <w:name w:val="Стиль 12 пт По ширине Междустр.интервал:  полуторный"/>
    <w:basedOn w:val="a7"/>
    <w:uiPriority w:val="99"/>
    <w:rsid w:val="0042058C"/>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7"/>
    <w:uiPriority w:val="99"/>
    <w:rsid w:val="0042058C"/>
    <w:pPr>
      <w:spacing w:after="0" w:line="240" w:lineRule="auto"/>
      <w:jc w:val="both"/>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7"/>
    <w:uiPriority w:val="99"/>
    <w:rsid w:val="0042058C"/>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style321">
    <w:name w:val="style321"/>
    <w:rsid w:val="0042058C"/>
    <w:rPr>
      <w:color w:val="9D302B"/>
    </w:rPr>
  </w:style>
  <w:style w:type="paragraph" w:customStyle="1" w:styleId="afffffffffd">
    <w:name w:val="Знак Знак Знак Знак Знак Знак Знак Знак Знак Знак Знак Знак Знак"/>
    <w:basedOn w:val="a7"/>
    <w:uiPriority w:val="99"/>
    <w:rsid w:val="0042058C"/>
    <w:pPr>
      <w:spacing w:after="160" w:line="240" w:lineRule="exact"/>
    </w:pPr>
    <w:rPr>
      <w:rFonts w:ascii="Verdana" w:eastAsia="Times New Roman" w:hAnsi="Verdana" w:cs="Times New Roman"/>
      <w:sz w:val="20"/>
      <w:szCs w:val="20"/>
      <w:lang w:val="en-US"/>
    </w:rPr>
  </w:style>
  <w:style w:type="paragraph" w:customStyle="1" w:styleId="1fff6">
    <w:name w:val="Сноска1"/>
    <w:basedOn w:val="a7"/>
    <w:rsid w:val="0042058C"/>
    <w:pPr>
      <w:shd w:val="clear" w:color="auto" w:fill="FFFFFF"/>
      <w:spacing w:after="0" w:line="192" w:lineRule="exact"/>
      <w:jc w:val="both"/>
    </w:pPr>
    <w:rPr>
      <w:rFonts w:ascii="Verdana" w:eastAsia="Calibri" w:hAnsi="Verdana" w:cs="Times New Roman"/>
      <w:sz w:val="16"/>
      <w:szCs w:val="16"/>
    </w:rPr>
  </w:style>
  <w:style w:type="character" w:customStyle="1" w:styleId="afffffffffe">
    <w:name w:val="Гипертекстовая ссылка"/>
    <w:rsid w:val="0042058C"/>
    <w:rPr>
      <w:color w:val="008000"/>
    </w:rPr>
  </w:style>
  <w:style w:type="character" w:customStyle="1" w:styleId="highlight">
    <w:name w:val="highlight"/>
    <w:rsid w:val="0042058C"/>
  </w:style>
  <w:style w:type="paragraph" w:customStyle="1" w:styleId="Sf">
    <w:name w:val="S_Обложка_проект"/>
    <w:basedOn w:val="a7"/>
    <w:uiPriority w:val="99"/>
    <w:rsid w:val="0042058C"/>
    <w:pPr>
      <w:spacing w:before="120" w:after="12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7"/>
    <w:rsid w:val="0042058C"/>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ff">
    <w:name w:val="Текст отчета"/>
    <w:basedOn w:val="a7"/>
    <w:uiPriority w:val="99"/>
    <w:qFormat/>
    <w:rsid w:val="0042058C"/>
    <w:pPr>
      <w:spacing w:before="120" w:after="120" w:line="360" w:lineRule="auto"/>
      <w:ind w:firstLine="709"/>
    </w:pPr>
    <w:rPr>
      <w:rFonts w:ascii="Times New Roman" w:eastAsia="Times New Roman" w:hAnsi="Times New Roman" w:cs="Times New Roman"/>
      <w:sz w:val="24"/>
      <w:lang w:eastAsia="ru-RU"/>
    </w:rPr>
  </w:style>
  <w:style w:type="paragraph" w:customStyle="1" w:styleId="Sf0">
    <w:name w:val="S_Отступ"/>
    <w:basedOn w:val="a7"/>
    <w:uiPriority w:val="99"/>
    <w:rsid w:val="0042058C"/>
    <w:pPr>
      <w:spacing w:before="120" w:after="120" w:line="360" w:lineRule="auto"/>
    </w:pPr>
    <w:rPr>
      <w:rFonts w:ascii="Times New Roman" w:eastAsia="Calibri" w:hAnsi="Times New Roman" w:cs="Times New Roman"/>
      <w:sz w:val="24"/>
      <w:szCs w:val="24"/>
      <w:lang w:eastAsia="ar-SA"/>
    </w:rPr>
  </w:style>
  <w:style w:type="paragraph" w:customStyle="1" w:styleId="affffffffff0">
    <w:name w:val="ГРАД Основной текст"/>
    <w:basedOn w:val="a7"/>
    <w:link w:val="affffffffff1"/>
    <w:autoRedefine/>
    <w:rsid w:val="0042058C"/>
    <w:pPr>
      <w:tabs>
        <w:tab w:val="left" w:pos="540"/>
        <w:tab w:val="left" w:pos="1260"/>
        <w:tab w:val="left" w:pos="1620"/>
      </w:tabs>
      <w:spacing w:before="240" w:after="120"/>
    </w:pPr>
    <w:rPr>
      <w:rFonts w:ascii="Times New Roman" w:eastAsia="Calibri" w:hAnsi="Times New Roman" w:cs="Times New Roman"/>
      <w:bCs/>
      <w:spacing w:val="4"/>
      <w:sz w:val="20"/>
      <w:szCs w:val="20"/>
    </w:rPr>
  </w:style>
  <w:style w:type="character" w:customStyle="1" w:styleId="affffffffff1">
    <w:name w:val="ГРАД Основной текст Знак Знак"/>
    <w:link w:val="affffffffff0"/>
    <w:rsid w:val="0042058C"/>
    <w:rPr>
      <w:rFonts w:ascii="Times New Roman" w:eastAsia="Calibri" w:hAnsi="Times New Roman" w:cs="Times New Roman"/>
      <w:bCs/>
      <w:spacing w:val="4"/>
      <w:sz w:val="20"/>
      <w:szCs w:val="20"/>
    </w:rPr>
  </w:style>
  <w:style w:type="paragraph" w:customStyle="1" w:styleId="affffffffff2">
    <w:name w:val="Таблица текст"/>
    <w:basedOn w:val="a7"/>
    <w:rsid w:val="0042058C"/>
    <w:pPr>
      <w:spacing w:before="20" w:after="20" w:line="216" w:lineRule="auto"/>
    </w:pPr>
    <w:rPr>
      <w:rFonts w:ascii="Times New Roman" w:eastAsia="Times New Roman" w:hAnsi="Times New Roman" w:cs="Times New Roman"/>
      <w:sz w:val="20"/>
      <w:szCs w:val="20"/>
      <w:lang w:eastAsia="ru-RU"/>
    </w:rPr>
  </w:style>
  <w:style w:type="character" w:customStyle="1" w:styleId="4f4">
    <w:name w:val="Основной текст (4) + Не полужирный"/>
    <w:rsid w:val="0042058C"/>
    <w:rPr>
      <w:b/>
      <w:bCs/>
      <w:spacing w:val="2"/>
      <w:shd w:val="clear" w:color="auto" w:fill="FFFFFF"/>
    </w:rPr>
  </w:style>
  <w:style w:type="character" w:customStyle="1" w:styleId="5b">
    <w:name w:val="Основной текст (5)_"/>
    <w:link w:val="5c"/>
    <w:rsid w:val="0042058C"/>
    <w:rPr>
      <w:spacing w:val="21"/>
      <w:sz w:val="11"/>
      <w:szCs w:val="11"/>
      <w:shd w:val="clear" w:color="auto" w:fill="FFFFFF"/>
    </w:rPr>
  </w:style>
  <w:style w:type="paragraph" w:customStyle="1" w:styleId="2ffa">
    <w:name w:val="Основной текст2"/>
    <w:basedOn w:val="a7"/>
    <w:link w:val="Bodytext0"/>
    <w:rsid w:val="0042058C"/>
    <w:pPr>
      <w:shd w:val="clear" w:color="auto" w:fill="FFFFFF"/>
      <w:spacing w:before="120" w:after="120" w:line="0" w:lineRule="atLeast"/>
      <w:jc w:val="right"/>
    </w:pPr>
    <w:rPr>
      <w:rFonts w:ascii="Calibri" w:eastAsia="Calibri" w:hAnsi="Calibri" w:cs="Times New Roman"/>
      <w:spacing w:val="9"/>
    </w:rPr>
  </w:style>
  <w:style w:type="paragraph" w:customStyle="1" w:styleId="5c">
    <w:name w:val="Основной текст (5)"/>
    <w:basedOn w:val="a7"/>
    <w:link w:val="5b"/>
    <w:rsid w:val="0042058C"/>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42058C"/>
    <w:rPr>
      <w:b/>
      <w:bCs/>
      <w:i/>
      <w:iCs/>
      <w:sz w:val="25"/>
      <w:szCs w:val="25"/>
      <w:shd w:val="clear" w:color="auto" w:fill="FFFFFF"/>
    </w:rPr>
  </w:style>
  <w:style w:type="paragraph" w:customStyle="1" w:styleId="xl84">
    <w:name w:val="xl84"/>
    <w:basedOn w:val="a7"/>
    <w:rsid w:val="0042058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5">
    <w:name w:val="xl85"/>
    <w:basedOn w:val="a7"/>
    <w:rsid w:val="0042058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6">
    <w:name w:val="xl86"/>
    <w:basedOn w:val="a7"/>
    <w:rsid w:val="0042058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7"/>
    <w:rsid w:val="0042058C"/>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8">
    <w:name w:val="xl88"/>
    <w:basedOn w:val="a7"/>
    <w:rsid w:val="0042058C"/>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9">
    <w:name w:val="xl89"/>
    <w:basedOn w:val="a7"/>
    <w:rsid w:val="0042058C"/>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7"/>
    <w:rsid w:val="0042058C"/>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7"/>
    <w:rsid w:val="0042058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ffffffffff3">
    <w:name w:val="ГРАД Список маркированный"/>
    <w:basedOn w:val="affffffe"/>
    <w:autoRedefine/>
    <w:rsid w:val="0042058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7"/>
    <w:uiPriority w:val="99"/>
    <w:rsid w:val="0042058C"/>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rsid w:val="0042058C"/>
  </w:style>
  <w:style w:type="paragraph" w:customStyle="1" w:styleId="textobi4">
    <w:name w:val="text_obi4"/>
    <w:basedOn w:val="a7"/>
    <w:rsid w:val="0042058C"/>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3">
    <w:name w:val="Основной текст (12)"/>
    <w:rsid w:val="0042058C"/>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42058C"/>
    <w:rPr>
      <w:rFonts w:ascii="Times New Roman" w:hAnsi="Times New Roman" w:cs="Times New Roman"/>
      <w:spacing w:val="0"/>
      <w:sz w:val="21"/>
      <w:szCs w:val="21"/>
    </w:rPr>
  </w:style>
  <w:style w:type="character" w:customStyle="1" w:styleId="413pt">
    <w:name w:val="Основной текст (4) + 13 pt"/>
    <w:uiPriority w:val="99"/>
    <w:rsid w:val="0042058C"/>
    <w:rPr>
      <w:spacing w:val="7"/>
      <w:sz w:val="26"/>
      <w:szCs w:val="26"/>
      <w:shd w:val="clear" w:color="auto" w:fill="FFFFFF"/>
    </w:rPr>
  </w:style>
  <w:style w:type="character" w:customStyle="1" w:styleId="413pt2">
    <w:name w:val="Основной текст (4) + 13 pt2"/>
    <w:uiPriority w:val="99"/>
    <w:rsid w:val="0042058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42058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42058C"/>
    <w:rPr>
      <w:rFonts w:ascii="Times New Roman" w:hAnsi="Times New Roman" w:cs="Times New Roman"/>
      <w:spacing w:val="0"/>
      <w:sz w:val="25"/>
      <w:szCs w:val="25"/>
    </w:rPr>
  </w:style>
  <w:style w:type="character" w:customStyle="1" w:styleId="12pt2">
    <w:name w:val="Основной текст + 12 pt2"/>
    <w:uiPriority w:val="99"/>
    <w:rsid w:val="0042058C"/>
    <w:rPr>
      <w:rFonts w:ascii="Times New Roman" w:hAnsi="Times New Roman" w:cs="Times New Roman"/>
      <w:spacing w:val="0"/>
      <w:sz w:val="24"/>
      <w:szCs w:val="24"/>
    </w:rPr>
  </w:style>
  <w:style w:type="character" w:customStyle="1" w:styleId="12pt1">
    <w:name w:val="Основной текст + 12 pt1"/>
    <w:uiPriority w:val="99"/>
    <w:rsid w:val="0042058C"/>
    <w:rPr>
      <w:rFonts w:ascii="Times New Roman" w:hAnsi="Times New Roman" w:cs="Times New Roman"/>
      <w:spacing w:val="0"/>
      <w:sz w:val="24"/>
      <w:szCs w:val="24"/>
    </w:rPr>
  </w:style>
  <w:style w:type="character" w:customStyle="1" w:styleId="1230">
    <w:name w:val="Основной текст + 123"/>
    <w:aliases w:val="5 pt6"/>
    <w:uiPriority w:val="99"/>
    <w:rsid w:val="0042058C"/>
    <w:rPr>
      <w:rFonts w:ascii="Times New Roman" w:hAnsi="Times New Roman" w:cs="Times New Roman"/>
      <w:spacing w:val="0"/>
      <w:sz w:val="25"/>
      <w:szCs w:val="25"/>
    </w:rPr>
  </w:style>
  <w:style w:type="character" w:customStyle="1" w:styleId="513pt">
    <w:name w:val="Основной текст (5) + 13 pt"/>
    <w:uiPriority w:val="99"/>
    <w:rsid w:val="0042058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42058C"/>
    <w:rPr>
      <w:rFonts w:ascii="Arial Narrow" w:hAnsi="Arial Narrow" w:cs="Arial Narrow"/>
      <w:i/>
      <w:iCs/>
      <w:spacing w:val="20"/>
      <w:sz w:val="24"/>
      <w:szCs w:val="24"/>
    </w:rPr>
  </w:style>
  <w:style w:type="character" w:customStyle="1" w:styleId="12pt">
    <w:name w:val="Основной текст + 12 pt"/>
    <w:uiPriority w:val="99"/>
    <w:rsid w:val="0042058C"/>
    <w:rPr>
      <w:rFonts w:ascii="Times New Roman" w:hAnsi="Times New Roman" w:cs="Times New Roman"/>
      <w:spacing w:val="0"/>
      <w:sz w:val="24"/>
      <w:szCs w:val="24"/>
    </w:rPr>
  </w:style>
  <w:style w:type="paragraph" w:customStyle="1" w:styleId="11d">
    <w:name w:val="Знак Знак11 Знак Знак Знак Знак"/>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paragraph" w:customStyle="1" w:styleId="text">
    <w:name w:val="text"/>
    <w:uiPriority w:val="99"/>
    <w:rsid w:val="0042058C"/>
    <w:pPr>
      <w:autoSpaceDE w:val="0"/>
      <w:autoSpaceDN w:val="0"/>
      <w:adjustRightInd w:val="0"/>
      <w:spacing w:after="0" w:line="234" w:lineRule="atLeast"/>
      <w:ind w:firstLine="283"/>
      <w:jc w:val="both"/>
    </w:pPr>
    <w:rPr>
      <w:rFonts w:ascii="Arial" w:eastAsia="Times New Roman" w:hAnsi="Arial" w:cs="Arial"/>
      <w:color w:val="000000"/>
      <w:lang w:eastAsia="ru-RU"/>
    </w:rPr>
  </w:style>
  <w:style w:type="paragraph" w:customStyle="1" w:styleId="1112">
    <w:name w:val="Знак Знак11 Знак Знак Знак Знак1"/>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paragraph" w:customStyle="1" w:styleId="1120">
    <w:name w:val="Знак Знак11 Знак Знак Знак Знак2"/>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42058C"/>
    <w:rPr>
      <w:rFonts w:cs="Times New Roman"/>
    </w:rPr>
  </w:style>
  <w:style w:type="paragraph" w:customStyle="1" w:styleId="1140">
    <w:name w:val="Знак Знак11 Знак Знак Знак Знак4"/>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7"/>
    <w:uiPriority w:val="99"/>
    <w:rsid w:val="0042058C"/>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4">
    <w:name w:val="НашаШапка"/>
    <w:basedOn w:val="a7"/>
    <w:uiPriority w:val="99"/>
    <w:rsid w:val="0042058C"/>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ffffffff5">
    <w:name w:val="Таблотст"/>
    <w:basedOn w:val="afffffc"/>
    <w:link w:val="affffffffff6"/>
    <w:rsid w:val="0042058C"/>
    <w:pPr>
      <w:widowControl/>
      <w:spacing w:before="120" w:after="0" w:line="204" w:lineRule="auto"/>
      <w:ind w:left="85"/>
      <w:jc w:val="left"/>
    </w:pPr>
    <w:rPr>
      <w:rFonts w:eastAsia="Times New Roman"/>
      <w:szCs w:val="20"/>
      <w:lang w:val="ru-RU" w:eastAsia="ru-RU"/>
    </w:rPr>
  </w:style>
  <w:style w:type="character" w:customStyle="1" w:styleId="affffffffff6">
    <w:name w:val="Таблотст Знак"/>
    <w:link w:val="affffffffff5"/>
    <w:locked/>
    <w:rsid w:val="0042058C"/>
    <w:rPr>
      <w:rFonts w:ascii="Arial" w:eastAsia="Times New Roman" w:hAnsi="Arial" w:cs="Times New Roman"/>
      <w:sz w:val="20"/>
      <w:szCs w:val="20"/>
      <w:lang w:eastAsia="ru-RU"/>
    </w:rPr>
  </w:style>
  <w:style w:type="paragraph" w:customStyle="1" w:styleId="affffffffff7">
    <w:name w:val="цифры таблицы"/>
    <w:uiPriority w:val="99"/>
    <w:rsid w:val="0042058C"/>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8">
    <w:name w:val="единицы"/>
    <w:uiPriority w:val="99"/>
    <w:rsid w:val="0042058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9">
    <w:name w:val="Единицы измерения"/>
    <w:uiPriority w:val="99"/>
    <w:rsid w:val="0042058C"/>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a">
    <w:name w:val="Левая колонка"/>
    <w:uiPriority w:val="99"/>
    <w:rsid w:val="0042058C"/>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b">
    <w:name w:val="Цифры таблицы"/>
    <w:uiPriority w:val="99"/>
    <w:rsid w:val="0042058C"/>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c">
    <w:name w:val="Единицы"/>
    <w:basedOn w:val="a7"/>
    <w:uiPriority w:val="99"/>
    <w:rsid w:val="0042058C"/>
    <w:pPr>
      <w:keepNext/>
      <w:spacing w:before="120" w:after="120" w:line="240" w:lineRule="auto"/>
      <w:jc w:val="center"/>
    </w:pPr>
    <w:rPr>
      <w:rFonts w:ascii="Arial" w:eastAsia="Times New Roman" w:hAnsi="Arial" w:cs="Times New Roman"/>
      <w:szCs w:val="20"/>
      <w:lang w:eastAsia="ru-RU"/>
    </w:rPr>
  </w:style>
  <w:style w:type="paragraph" w:customStyle="1" w:styleId="2ffb">
    <w:name w:val="Таблотст2"/>
    <w:basedOn w:val="afffffc"/>
    <w:uiPriority w:val="99"/>
    <w:rsid w:val="0042058C"/>
    <w:pPr>
      <w:widowControl/>
      <w:spacing w:before="120" w:after="0" w:line="204" w:lineRule="auto"/>
      <w:ind w:left="170"/>
      <w:jc w:val="left"/>
    </w:pPr>
    <w:rPr>
      <w:rFonts w:eastAsia="Times New Roman"/>
      <w:noProof/>
      <w:szCs w:val="20"/>
      <w:lang w:val="ru-RU" w:eastAsia="ru-RU"/>
    </w:rPr>
  </w:style>
  <w:style w:type="character" w:customStyle="1" w:styleId="FontStyle26">
    <w:name w:val="Font Style26"/>
    <w:rsid w:val="0042058C"/>
    <w:rPr>
      <w:rFonts w:ascii="Verdana" w:hAnsi="Verdana" w:cs="Verdana"/>
      <w:sz w:val="14"/>
      <w:szCs w:val="14"/>
    </w:rPr>
  </w:style>
  <w:style w:type="character" w:customStyle="1" w:styleId="FontStyle25">
    <w:name w:val="Font Style25"/>
    <w:rsid w:val="0042058C"/>
    <w:rPr>
      <w:rFonts w:ascii="Times New Roman" w:hAnsi="Times New Roman" w:cs="Times New Roman"/>
      <w:b/>
      <w:bCs/>
      <w:i/>
      <w:iCs/>
      <w:sz w:val="14"/>
      <w:szCs w:val="14"/>
    </w:rPr>
  </w:style>
  <w:style w:type="character" w:customStyle="1" w:styleId="FontStyle27">
    <w:name w:val="Font Style27"/>
    <w:rsid w:val="0042058C"/>
    <w:rPr>
      <w:rFonts w:ascii="Book Antiqua" w:hAnsi="Book Antiqua" w:cs="Book Antiqua"/>
      <w:i/>
      <w:iCs/>
      <w:sz w:val="14"/>
      <w:szCs w:val="14"/>
    </w:rPr>
  </w:style>
  <w:style w:type="paragraph" w:customStyle="1" w:styleId="Style16">
    <w:name w:val="Style16"/>
    <w:basedOn w:val="a7"/>
    <w:uiPriority w:val="99"/>
    <w:rsid w:val="0042058C"/>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1fff7">
    <w:name w:val="Абзац списка1"/>
    <w:basedOn w:val="a7"/>
    <w:uiPriority w:val="99"/>
    <w:rsid w:val="0042058C"/>
    <w:pPr>
      <w:spacing w:before="120" w:after="120" w:line="240" w:lineRule="auto"/>
      <w:ind w:left="720"/>
      <w:contextualSpacing/>
    </w:pPr>
    <w:rPr>
      <w:rFonts w:ascii="Times New Roman" w:eastAsia="Calibri" w:hAnsi="Times New Roman" w:cs="Times New Roman"/>
      <w:sz w:val="24"/>
      <w:szCs w:val="24"/>
      <w:lang w:eastAsia="ru-RU"/>
    </w:rPr>
  </w:style>
  <w:style w:type="paragraph" w:customStyle="1" w:styleId="Style13">
    <w:name w:val="Style13"/>
    <w:basedOn w:val="a7"/>
    <w:uiPriority w:val="99"/>
    <w:rsid w:val="0042058C"/>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42058C"/>
    <w:rPr>
      <w:rFonts w:ascii="Times New Roman" w:hAnsi="Times New Roman" w:cs="Times New Roman"/>
      <w:sz w:val="22"/>
      <w:szCs w:val="22"/>
    </w:rPr>
  </w:style>
  <w:style w:type="paragraph" w:customStyle="1" w:styleId="affffffffffd">
    <w:name w:val="Основной текст доклад"/>
    <w:uiPriority w:val="99"/>
    <w:rsid w:val="0042058C"/>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7"/>
    <w:uiPriority w:val="99"/>
    <w:rsid w:val="0042058C"/>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7"/>
    <w:uiPriority w:val="99"/>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e">
    <w:name w:val="ГРАД Табличный текст (центр)"/>
    <w:basedOn w:val="a7"/>
    <w:autoRedefine/>
    <w:rsid w:val="0042058C"/>
    <w:pPr>
      <w:spacing w:before="120" w:after="12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ff9"/>
    <w:uiPriority w:val="99"/>
    <w:rsid w:val="0042058C"/>
    <w:pPr>
      <w:spacing w:before="120" w:line="240" w:lineRule="auto"/>
      <w:ind w:left="567"/>
      <w:jc w:val="both"/>
    </w:pPr>
    <w:rPr>
      <w:rFonts w:eastAsia="Times New Roman"/>
      <w:spacing w:val="-5"/>
      <w:sz w:val="24"/>
      <w:szCs w:val="24"/>
    </w:rPr>
  </w:style>
  <w:style w:type="character" w:customStyle="1" w:styleId="itemauthor1">
    <w:name w:val="itemauthor1"/>
    <w:rsid w:val="0042058C"/>
    <w:rPr>
      <w:rFonts w:ascii="Tahoma" w:hAnsi="Tahoma" w:cs="Tahoma" w:hint="default"/>
      <w:vanish w:val="0"/>
      <w:webHidden w:val="0"/>
      <w:specVanish w:val="0"/>
    </w:rPr>
  </w:style>
  <w:style w:type="character" w:customStyle="1" w:styleId="itemtextresizertitle">
    <w:name w:val="itemtextresizertitle"/>
    <w:rsid w:val="0042058C"/>
    <w:rPr>
      <w:rFonts w:ascii="Tahoma" w:hAnsi="Tahoma" w:cs="Tahoma" w:hint="default"/>
    </w:rPr>
  </w:style>
  <w:style w:type="paragraph" w:customStyle="1" w:styleId="afffffffffff">
    <w:name w:val="Рабочий"/>
    <w:basedOn w:val="a7"/>
    <w:uiPriority w:val="99"/>
    <w:rsid w:val="0042058C"/>
    <w:pPr>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7"/>
    <w:uiPriority w:val="99"/>
    <w:rsid w:val="0042058C"/>
    <w:pPr>
      <w:spacing w:before="120" w:line="240" w:lineRule="auto"/>
      <w:jc w:val="both"/>
    </w:pPr>
    <w:rPr>
      <w:rFonts w:ascii="Arial" w:eastAsia="Times New Roman" w:hAnsi="Arial" w:cs="Arial"/>
      <w:szCs w:val="20"/>
    </w:rPr>
  </w:style>
  <w:style w:type="paragraph" w:customStyle="1" w:styleId="afffffffffff0">
    <w:name w:val="шапка"/>
    <w:uiPriority w:val="99"/>
    <w:rsid w:val="0042058C"/>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1">
    <w:name w:val="заг. указ. литературы"/>
    <w:basedOn w:val="a7"/>
    <w:uiPriority w:val="99"/>
    <w:rsid w:val="0042058C"/>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eastAsia="ru-RU"/>
    </w:rPr>
  </w:style>
  <w:style w:type="paragraph" w:customStyle="1" w:styleId="afffffffffff2">
    <w:name w:val="единицы измерения"/>
    <w:uiPriority w:val="99"/>
    <w:rsid w:val="0042058C"/>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42058C"/>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7"/>
    <w:next w:val="a7"/>
    <w:uiPriority w:val="99"/>
    <w:rsid w:val="0042058C"/>
    <w:pPr>
      <w:keepNext/>
      <w:widowControl w:val="0"/>
      <w:suppressAutoHyphens/>
      <w:spacing w:before="120" w:after="120" w:line="240" w:lineRule="auto"/>
      <w:jc w:val="center"/>
    </w:pPr>
    <w:rPr>
      <w:rFonts w:ascii="Times New Roman" w:eastAsia="Times New Roman" w:hAnsi="Times New Roman" w:cs="Times New Roman"/>
      <w:b/>
      <w:sz w:val="24"/>
      <w:szCs w:val="24"/>
      <w:lang w:eastAsia="ru-RU"/>
    </w:rPr>
  </w:style>
  <w:style w:type="paragraph" w:customStyle="1" w:styleId="75">
    <w:name w:val="оглавление 7"/>
    <w:basedOn w:val="a7"/>
    <w:uiPriority w:val="99"/>
    <w:rsid w:val="0042058C"/>
    <w:pPr>
      <w:suppressAutoHyphens/>
      <w:spacing w:before="120" w:after="12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rsid w:val="0042058C"/>
  </w:style>
  <w:style w:type="paragraph" w:customStyle="1" w:styleId="afffffffffff3">
    <w:name w:val="Ст. без интервала"/>
    <w:basedOn w:val="a7"/>
    <w:link w:val="afffffffffff4"/>
    <w:qFormat/>
    <w:rsid w:val="0042058C"/>
    <w:pPr>
      <w:spacing w:before="120" w:after="120" w:line="240" w:lineRule="auto"/>
      <w:ind w:firstLine="709"/>
      <w:jc w:val="both"/>
    </w:pPr>
    <w:rPr>
      <w:rFonts w:ascii="Times New Roman" w:eastAsia="Calibri" w:hAnsi="Times New Roman" w:cs="Times New Roman"/>
      <w:sz w:val="28"/>
      <w:szCs w:val="28"/>
      <w:lang w:eastAsia="ru-RU"/>
    </w:rPr>
  </w:style>
  <w:style w:type="character" w:customStyle="1" w:styleId="afffffffffff4">
    <w:name w:val="Ст. без интервала Знак"/>
    <w:link w:val="afffffffffff3"/>
    <w:rsid w:val="0042058C"/>
    <w:rPr>
      <w:rFonts w:ascii="Times New Roman" w:eastAsia="Calibri" w:hAnsi="Times New Roman" w:cs="Times New Roman"/>
      <w:sz w:val="28"/>
      <w:szCs w:val="28"/>
      <w:lang w:eastAsia="ru-RU"/>
    </w:rPr>
  </w:style>
  <w:style w:type="paragraph" w:customStyle="1" w:styleId="14">
    <w:name w:val="Таблица 1"/>
    <w:basedOn w:val="a7"/>
    <w:autoRedefine/>
    <w:rsid w:val="0042058C"/>
    <w:pPr>
      <w:numPr>
        <w:numId w:val="68"/>
      </w:numPr>
      <w:spacing w:before="120" w:after="120" w:line="360" w:lineRule="auto"/>
      <w:jc w:val="both"/>
    </w:pPr>
    <w:rPr>
      <w:rFonts w:ascii="Times New Roman" w:eastAsia="Times New Roman" w:hAnsi="Times New Roman" w:cs="Times New Roman"/>
      <w:sz w:val="24"/>
      <w:szCs w:val="24"/>
      <w:lang w:eastAsia="ru-RU"/>
    </w:rPr>
  </w:style>
  <w:style w:type="paragraph" w:customStyle="1" w:styleId="font5">
    <w:name w:val="font5"/>
    <w:basedOn w:val="a7"/>
    <w:rsid w:val="0042058C"/>
    <w:pPr>
      <w:tabs>
        <w:tab w:val="left" w:pos="708"/>
      </w:tabs>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6">
    <w:name w:val="font6"/>
    <w:basedOn w:val="a7"/>
    <w:rsid w:val="0042058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7"/>
    <w:rsid w:val="0042058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7"/>
    <w:rsid w:val="0042058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7"/>
    <w:rsid w:val="0042058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7"/>
    <w:rsid w:val="0042058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7"/>
    <w:rsid w:val="0042058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7"/>
    <w:rsid w:val="0042058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7"/>
    <w:rsid w:val="0042058C"/>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7"/>
    <w:rsid w:val="0042058C"/>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7"/>
    <w:rsid w:val="0042058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5">
    <w:name w:val="Дистиль"/>
    <w:basedOn w:val="a7"/>
    <w:rsid w:val="0042058C"/>
    <w:pPr>
      <w:spacing w:before="120" w:after="120" w:line="240" w:lineRule="auto"/>
    </w:pPr>
    <w:rPr>
      <w:rFonts w:ascii="Times New Roman" w:eastAsia="Times New Roman" w:hAnsi="Times New Roman" w:cs="Times New Roman"/>
      <w:sz w:val="28"/>
      <w:szCs w:val="20"/>
      <w:lang w:eastAsia="ru-RU"/>
    </w:rPr>
  </w:style>
  <w:style w:type="character" w:customStyle="1" w:styleId="font0">
    <w:name w:val="font0"/>
    <w:rsid w:val="0042058C"/>
  </w:style>
  <w:style w:type="paragraph" w:customStyle="1" w:styleId="xl92">
    <w:name w:val="xl92"/>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eastAsia="ru-RU"/>
    </w:rPr>
  </w:style>
  <w:style w:type="paragraph" w:customStyle="1" w:styleId="1fff8">
    <w:name w:val="Основной текст с отступом.Основной текст 1.Нумерованный список !!.Основной текст с отступом Знак.Надин стиль.Основной текст без отступа"/>
    <w:basedOn w:val="a7"/>
    <w:rsid w:val="0042058C"/>
    <w:pPr>
      <w:spacing w:before="120" w:after="120" w:line="360" w:lineRule="auto"/>
      <w:ind w:firstLine="709"/>
      <w:jc w:val="both"/>
    </w:pPr>
    <w:rPr>
      <w:rFonts w:ascii="Times New Roman" w:eastAsia="Times New Roman" w:hAnsi="Times New Roman" w:cs="Times New Roman"/>
      <w:sz w:val="26"/>
      <w:szCs w:val="20"/>
      <w:lang w:eastAsia="ru-RU"/>
    </w:rPr>
  </w:style>
  <w:style w:type="paragraph" w:customStyle="1" w:styleId="5e">
    <w:name w:val="заголовок 5"/>
    <w:basedOn w:val="a7"/>
    <w:next w:val="a7"/>
    <w:rsid w:val="0042058C"/>
    <w:pPr>
      <w:keepNext/>
      <w:spacing w:before="120" w:after="120" w:line="240" w:lineRule="auto"/>
      <w:jc w:val="center"/>
      <w:outlineLvl w:val="4"/>
    </w:pPr>
    <w:rPr>
      <w:rFonts w:ascii="Times New Roman" w:eastAsia="Times New Roman" w:hAnsi="Times New Roman" w:cs="Times New Roman"/>
      <w:b/>
      <w:sz w:val="18"/>
      <w:szCs w:val="20"/>
      <w:lang w:val="en-US" w:eastAsia="ru-RU"/>
    </w:rPr>
  </w:style>
  <w:style w:type="paragraph" w:customStyle="1" w:styleId="afffffffffff6">
    <w:name w:val="Текст таблицы"/>
    <w:basedOn w:val="a7"/>
    <w:qFormat/>
    <w:rsid w:val="0042058C"/>
    <w:pPr>
      <w:widowControl w:val="0"/>
      <w:autoSpaceDE w:val="0"/>
      <w:autoSpaceDN w:val="0"/>
      <w:adjustRightInd w:val="0"/>
      <w:spacing w:before="120" w:after="120" w:line="240" w:lineRule="auto"/>
      <w:jc w:val="both"/>
    </w:pPr>
    <w:rPr>
      <w:rFonts w:ascii="Times New Roman" w:eastAsia="Calibri" w:hAnsi="Times New Roman" w:cs="Times New Roman"/>
      <w:sz w:val="24"/>
      <w:szCs w:val="24"/>
    </w:rPr>
  </w:style>
  <w:style w:type="paragraph" w:customStyle="1" w:styleId="xl93">
    <w:name w:val="xl93"/>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7"/>
    <w:link w:val="Bodytext4"/>
    <w:uiPriority w:val="99"/>
    <w:rsid w:val="0042058C"/>
    <w:pPr>
      <w:shd w:val="clear" w:color="auto" w:fill="FFFFFF"/>
      <w:spacing w:before="120" w:after="120" w:line="302" w:lineRule="exact"/>
      <w:jc w:val="both"/>
    </w:pPr>
    <w:rPr>
      <w:b/>
      <w:bCs/>
      <w:i/>
      <w:iCs/>
      <w:sz w:val="25"/>
      <w:szCs w:val="25"/>
    </w:rPr>
  </w:style>
  <w:style w:type="paragraph" w:customStyle="1" w:styleId="xl98">
    <w:name w:val="xl9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104">
    <w:name w:val="xl104"/>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42058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4205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7"/>
    <w:rsid w:val="0042058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1">
    <w:name w:val="xl121"/>
    <w:basedOn w:val="a7"/>
    <w:rsid w:val="0042058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7"/>
    <w:rsid w:val="0042058C"/>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7"/>
    <w:rsid w:val="00420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7"/>
    <w:rsid w:val="0042058C"/>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7"/>
    <w:rsid w:val="0042058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7"/>
    <w:rsid w:val="0042058C"/>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7"/>
    <w:rsid w:val="0042058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7"/>
    <w:rsid w:val="0042058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7"/>
    <w:rsid w:val="0042058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7"/>
    <w:rsid w:val="004205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42058C"/>
    <w:rPr>
      <w:sz w:val="21"/>
      <w:szCs w:val="21"/>
      <w:shd w:val="clear" w:color="auto" w:fill="FFFFFF"/>
    </w:rPr>
  </w:style>
  <w:style w:type="paragraph" w:customStyle="1" w:styleId="xl140">
    <w:name w:val="xl140"/>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7"/>
    <w:rsid w:val="0042058C"/>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7"/>
    <w:rsid w:val="004205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7"/>
    <w:rsid w:val="0042058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7"/>
    <w:rsid w:val="0042058C"/>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7"/>
    <w:rsid w:val="0042058C"/>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7"/>
    <w:rsid w:val="0042058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7"/>
    <w:rsid w:val="0042058C"/>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7"/>
    <w:rsid w:val="0042058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7"/>
    <w:rsid w:val="004205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7"/>
    <w:rsid w:val="0042058C"/>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7"/>
    <w:rsid w:val="0042058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7"/>
    <w:rsid w:val="0042058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7"/>
    <w:rsid w:val="004205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42058C"/>
  </w:style>
  <w:style w:type="paragraph" w:customStyle="1" w:styleId="5f">
    <w:name w:val="Знак Знак5 Знак Знак"/>
    <w:basedOn w:val="a7"/>
    <w:rsid w:val="0042058C"/>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character" w:customStyle="1" w:styleId="ConsPlusNormal0">
    <w:name w:val="ConsPlusNormal Знак"/>
    <w:link w:val="ConsPlusNormal"/>
    <w:locked/>
    <w:rsid w:val="0042058C"/>
    <w:rPr>
      <w:rFonts w:ascii="Arial" w:eastAsia="Times New Roman" w:hAnsi="Arial" w:cs="Arial"/>
      <w:sz w:val="20"/>
      <w:szCs w:val="20"/>
      <w:lang w:eastAsia="ru-RU"/>
    </w:rPr>
  </w:style>
  <w:style w:type="paragraph" w:customStyle="1" w:styleId="2ffc">
    <w:name w:val="Знак2 Знак Знак Знак Знак Знак Знак Знак Знак Знак Знак Знак Знак Знак Знак Знак"/>
    <w:basedOn w:val="a7"/>
    <w:rsid w:val="0042058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6">
    <w:name w:val="Style6"/>
    <w:basedOn w:val="a7"/>
    <w:rsid w:val="0042058C"/>
    <w:pPr>
      <w:widowControl w:val="0"/>
      <w:autoSpaceDE w:val="0"/>
      <w:autoSpaceDN w:val="0"/>
      <w:adjustRightInd w:val="0"/>
      <w:spacing w:before="120" w:after="120" w:line="322" w:lineRule="exact"/>
      <w:jc w:val="center"/>
    </w:pPr>
    <w:rPr>
      <w:rFonts w:ascii="Times New Roman" w:eastAsia="Times New Roman" w:hAnsi="Times New Roman" w:cs="Times New Roman"/>
      <w:sz w:val="24"/>
      <w:szCs w:val="24"/>
      <w:lang w:eastAsia="ru-RU"/>
    </w:rPr>
  </w:style>
  <w:style w:type="paragraph" w:customStyle="1" w:styleId="FR1">
    <w:name w:val="FR1"/>
    <w:uiPriority w:val="99"/>
    <w:rsid w:val="0042058C"/>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7"/>
    <w:link w:val="Bodytext6"/>
    <w:rsid w:val="0042058C"/>
    <w:pPr>
      <w:shd w:val="clear" w:color="auto" w:fill="FFFFFF"/>
      <w:spacing w:before="120" w:after="120" w:line="240" w:lineRule="atLeast"/>
    </w:pPr>
    <w:rPr>
      <w:sz w:val="21"/>
      <w:szCs w:val="21"/>
    </w:rPr>
  </w:style>
  <w:style w:type="paragraph" w:customStyle="1" w:styleId="stylet1">
    <w:name w:val="stylet1"/>
    <w:basedOn w:val="a7"/>
    <w:uiPriority w:val="99"/>
    <w:qFormat/>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42058C"/>
    <w:rPr>
      <w:sz w:val="19"/>
      <w:szCs w:val="19"/>
      <w:shd w:val="clear" w:color="auto" w:fill="FFFFFF"/>
    </w:rPr>
  </w:style>
  <w:style w:type="paragraph" w:customStyle="1" w:styleId="Bodytext50">
    <w:name w:val="Body text (5)"/>
    <w:basedOn w:val="a7"/>
    <w:link w:val="Bodytext5"/>
    <w:uiPriority w:val="99"/>
    <w:rsid w:val="0042058C"/>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42058C"/>
    <w:rPr>
      <w:sz w:val="21"/>
      <w:szCs w:val="21"/>
      <w:shd w:val="clear" w:color="auto" w:fill="FFFFFF"/>
    </w:rPr>
  </w:style>
  <w:style w:type="character" w:customStyle="1" w:styleId="Bodytext17">
    <w:name w:val="Body text (17)_"/>
    <w:link w:val="Bodytext171"/>
    <w:uiPriority w:val="99"/>
    <w:rsid w:val="0042058C"/>
    <w:rPr>
      <w:sz w:val="15"/>
      <w:szCs w:val="15"/>
      <w:shd w:val="clear" w:color="auto" w:fill="FFFFFF"/>
    </w:rPr>
  </w:style>
  <w:style w:type="paragraph" w:customStyle="1" w:styleId="Tablecaption31">
    <w:name w:val="Table caption (3)1"/>
    <w:basedOn w:val="a7"/>
    <w:link w:val="Tablecaption3"/>
    <w:uiPriority w:val="99"/>
    <w:rsid w:val="0042058C"/>
    <w:pPr>
      <w:shd w:val="clear" w:color="auto" w:fill="FFFFFF"/>
      <w:spacing w:before="120" w:after="120" w:line="240" w:lineRule="atLeast"/>
      <w:ind w:hanging="720"/>
    </w:pPr>
    <w:rPr>
      <w:sz w:val="21"/>
      <w:szCs w:val="21"/>
    </w:rPr>
  </w:style>
  <w:style w:type="paragraph" w:customStyle="1" w:styleId="Bodytext171">
    <w:name w:val="Body text (17)1"/>
    <w:basedOn w:val="a7"/>
    <w:link w:val="Bodytext17"/>
    <w:uiPriority w:val="99"/>
    <w:rsid w:val="0042058C"/>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42058C"/>
    <w:rPr>
      <w:shd w:val="clear" w:color="auto" w:fill="FFFFFF"/>
    </w:rPr>
  </w:style>
  <w:style w:type="character" w:customStyle="1" w:styleId="Headerorfooter12pt">
    <w:name w:val="Header or footer + 12 pt"/>
    <w:uiPriority w:val="99"/>
    <w:rsid w:val="0042058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42058C"/>
    <w:rPr>
      <w:rFonts w:ascii="Times New Roman" w:hAnsi="Times New Roman" w:cs="Times New Roman"/>
      <w:i/>
      <w:iCs/>
      <w:spacing w:val="0"/>
      <w:sz w:val="24"/>
      <w:szCs w:val="24"/>
      <w:shd w:val="clear" w:color="auto" w:fill="FFFFFF"/>
    </w:rPr>
  </w:style>
  <w:style w:type="paragraph" w:customStyle="1" w:styleId="Headerorfooter0">
    <w:name w:val="Header or footer"/>
    <w:basedOn w:val="a7"/>
    <w:link w:val="Headerorfooter"/>
    <w:uiPriority w:val="99"/>
    <w:rsid w:val="0042058C"/>
    <w:pPr>
      <w:shd w:val="clear" w:color="auto" w:fill="FFFFFF"/>
      <w:spacing w:before="120" w:after="120" w:line="240" w:lineRule="auto"/>
    </w:pPr>
  </w:style>
  <w:style w:type="character" w:customStyle="1" w:styleId="Tablecaption4">
    <w:name w:val="Table caption (4)_"/>
    <w:link w:val="Tablecaption40"/>
    <w:uiPriority w:val="99"/>
    <w:rsid w:val="0042058C"/>
    <w:rPr>
      <w:sz w:val="25"/>
      <w:szCs w:val="25"/>
      <w:shd w:val="clear" w:color="auto" w:fill="FFFFFF"/>
    </w:rPr>
  </w:style>
  <w:style w:type="paragraph" w:customStyle="1" w:styleId="Tablecaption40">
    <w:name w:val="Table caption (4)"/>
    <w:basedOn w:val="a7"/>
    <w:link w:val="Tablecaption4"/>
    <w:uiPriority w:val="99"/>
    <w:rsid w:val="0042058C"/>
    <w:pPr>
      <w:shd w:val="clear" w:color="auto" w:fill="FFFFFF"/>
      <w:spacing w:before="120" w:after="120" w:line="298" w:lineRule="exact"/>
    </w:pPr>
    <w:rPr>
      <w:sz w:val="25"/>
      <w:szCs w:val="25"/>
    </w:rPr>
  </w:style>
  <w:style w:type="character" w:customStyle="1" w:styleId="Bodytext62">
    <w:name w:val="Body text (6)2"/>
    <w:uiPriority w:val="99"/>
    <w:rsid w:val="0042058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42058C"/>
    <w:rPr>
      <w:b/>
      <w:bCs/>
      <w:sz w:val="23"/>
      <w:szCs w:val="23"/>
      <w:shd w:val="clear" w:color="auto" w:fill="FFFFFF"/>
    </w:rPr>
  </w:style>
  <w:style w:type="paragraph" w:customStyle="1" w:styleId="Tablecaption0">
    <w:name w:val="Table caption"/>
    <w:basedOn w:val="a7"/>
    <w:link w:val="Tablecaption"/>
    <w:uiPriority w:val="99"/>
    <w:rsid w:val="0042058C"/>
    <w:pPr>
      <w:shd w:val="clear" w:color="auto" w:fill="FFFFFF"/>
      <w:spacing w:before="120" w:after="120" w:line="240" w:lineRule="atLeast"/>
    </w:pPr>
    <w:rPr>
      <w:b/>
      <w:bCs/>
      <w:sz w:val="23"/>
      <w:szCs w:val="23"/>
    </w:rPr>
  </w:style>
  <w:style w:type="character" w:customStyle="1" w:styleId="Bodytext65">
    <w:name w:val="Body text (6)5"/>
    <w:uiPriority w:val="99"/>
    <w:rsid w:val="0042058C"/>
    <w:rPr>
      <w:rFonts w:ascii="Times New Roman" w:hAnsi="Times New Roman" w:cs="Times New Roman"/>
      <w:spacing w:val="0"/>
      <w:sz w:val="21"/>
      <w:szCs w:val="21"/>
      <w:shd w:val="clear" w:color="auto" w:fill="FFFFFF"/>
    </w:rPr>
  </w:style>
  <w:style w:type="character" w:customStyle="1" w:styleId="Bodytext63">
    <w:name w:val="Body text (6)3"/>
    <w:uiPriority w:val="99"/>
    <w:rsid w:val="0042058C"/>
    <w:rPr>
      <w:rFonts w:ascii="Times New Roman" w:hAnsi="Times New Roman" w:cs="Times New Roman"/>
      <w:spacing w:val="0"/>
      <w:sz w:val="21"/>
      <w:szCs w:val="21"/>
      <w:shd w:val="clear" w:color="auto" w:fill="FFFFFF"/>
    </w:rPr>
  </w:style>
  <w:style w:type="paragraph" w:customStyle="1" w:styleId="-">
    <w:name w:val="Нумерация-Тире"/>
    <w:basedOn w:val="a7"/>
    <w:qFormat/>
    <w:rsid w:val="0042058C"/>
    <w:pPr>
      <w:numPr>
        <w:numId w:val="69"/>
      </w:numPr>
      <w:tabs>
        <w:tab w:val="left" w:pos="1134"/>
        <w:tab w:val="left" w:pos="1418"/>
      </w:tabs>
      <w:spacing w:before="120" w:after="120" w:line="240" w:lineRule="auto"/>
      <w:jc w:val="both"/>
    </w:pPr>
    <w:rPr>
      <w:rFonts w:ascii="Times New Roman" w:eastAsia="Calibri" w:hAnsi="Times New Roman" w:cs="Times New Roman"/>
      <w:sz w:val="24"/>
      <w:szCs w:val="24"/>
    </w:rPr>
  </w:style>
  <w:style w:type="numbering" w:customStyle="1" w:styleId="21f">
    <w:name w:val="Нет списка21"/>
    <w:next w:val="aa"/>
    <w:uiPriority w:val="99"/>
    <w:semiHidden/>
    <w:unhideWhenUsed/>
    <w:rsid w:val="0042058C"/>
  </w:style>
  <w:style w:type="numbering" w:customStyle="1" w:styleId="130">
    <w:name w:val="Нет списка13"/>
    <w:next w:val="aa"/>
    <w:uiPriority w:val="99"/>
    <w:semiHidden/>
    <w:unhideWhenUsed/>
    <w:rsid w:val="0042058C"/>
  </w:style>
  <w:style w:type="numbering" w:customStyle="1" w:styleId="142">
    <w:name w:val="Нет списка14"/>
    <w:next w:val="aa"/>
    <w:uiPriority w:val="99"/>
    <w:semiHidden/>
    <w:unhideWhenUsed/>
    <w:rsid w:val="0042058C"/>
  </w:style>
  <w:style w:type="numbering" w:customStyle="1" w:styleId="5f0">
    <w:name w:val="Нет списка5"/>
    <w:next w:val="aa"/>
    <w:uiPriority w:val="99"/>
    <w:semiHidden/>
    <w:unhideWhenUsed/>
    <w:rsid w:val="0042058C"/>
  </w:style>
  <w:style w:type="numbering" w:customStyle="1" w:styleId="150">
    <w:name w:val="Нет списка15"/>
    <w:next w:val="aa"/>
    <w:uiPriority w:val="99"/>
    <w:semiHidden/>
    <w:unhideWhenUsed/>
    <w:rsid w:val="0042058C"/>
  </w:style>
  <w:style w:type="table" w:customStyle="1" w:styleId="-32">
    <w:name w:val="Таблица-список 32"/>
    <w:basedOn w:val="a9"/>
    <w:next w:val="-30"/>
    <w:rsid w:val="0042058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a"/>
    <w:uiPriority w:val="99"/>
    <w:semiHidden/>
    <w:unhideWhenUsed/>
    <w:rsid w:val="0042058C"/>
  </w:style>
  <w:style w:type="numbering" w:customStyle="1" w:styleId="222">
    <w:name w:val="Нет списка22"/>
    <w:next w:val="aa"/>
    <w:uiPriority w:val="99"/>
    <w:semiHidden/>
    <w:unhideWhenUsed/>
    <w:rsid w:val="0042058C"/>
  </w:style>
  <w:style w:type="numbering" w:customStyle="1" w:styleId="1211">
    <w:name w:val="Нет списка121"/>
    <w:next w:val="aa"/>
    <w:uiPriority w:val="99"/>
    <w:semiHidden/>
    <w:unhideWhenUsed/>
    <w:rsid w:val="0042058C"/>
  </w:style>
  <w:style w:type="numbering" w:customStyle="1" w:styleId="319">
    <w:name w:val="Нет списка31"/>
    <w:next w:val="aa"/>
    <w:uiPriority w:val="99"/>
    <w:semiHidden/>
    <w:unhideWhenUsed/>
    <w:rsid w:val="0042058C"/>
  </w:style>
  <w:style w:type="numbering" w:customStyle="1" w:styleId="131">
    <w:name w:val="Нет списка131"/>
    <w:next w:val="aa"/>
    <w:uiPriority w:val="99"/>
    <w:semiHidden/>
    <w:unhideWhenUsed/>
    <w:rsid w:val="0042058C"/>
  </w:style>
  <w:style w:type="numbering" w:customStyle="1" w:styleId="415">
    <w:name w:val="Нет списка41"/>
    <w:next w:val="aa"/>
    <w:uiPriority w:val="99"/>
    <w:semiHidden/>
    <w:unhideWhenUsed/>
    <w:rsid w:val="0042058C"/>
  </w:style>
  <w:style w:type="numbering" w:customStyle="1" w:styleId="1410">
    <w:name w:val="Нет списка141"/>
    <w:next w:val="aa"/>
    <w:uiPriority w:val="99"/>
    <w:semiHidden/>
    <w:unhideWhenUsed/>
    <w:rsid w:val="0042058C"/>
  </w:style>
  <w:style w:type="numbering" w:customStyle="1" w:styleId="66">
    <w:name w:val="Нет списка6"/>
    <w:next w:val="aa"/>
    <w:uiPriority w:val="99"/>
    <w:semiHidden/>
    <w:unhideWhenUsed/>
    <w:rsid w:val="0042058C"/>
  </w:style>
  <w:style w:type="numbering" w:customStyle="1" w:styleId="162">
    <w:name w:val="Нет списка16"/>
    <w:next w:val="aa"/>
    <w:uiPriority w:val="99"/>
    <w:semiHidden/>
    <w:unhideWhenUsed/>
    <w:rsid w:val="0042058C"/>
  </w:style>
  <w:style w:type="table" w:customStyle="1" w:styleId="-33">
    <w:name w:val="Таблица-список 33"/>
    <w:basedOn w:val="a9"/>
    <w:next w:val="-30"/>
    <w:rsid w:val="0042058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a"/>
    <w:uiPriority w:val="99"/>
    <w:semiHidden/>
    <w:unhideWhenUsed/>
    <w:rsid w:val="0042058C"/>
  </w:style>
  <w:style w:type="numbering" w:customStyle="1" w:styleId="230">
    <w:name w:val="Нет списка23"/>
    <w:next w:val="aa"/>
    <w:uiPriority w:val="99"/>
    <w:semiHidden/>
    <w:unhideWhenUsed/>
    <w:rsid w:val="0042058C"/>
  </w:style>
  <w:style w:type="numbering" w:customStyle="1" w:styleId="1220">
    <w:name w:val="Нет списка122"/>
    <w:next w:val="aa"/>
    <w:uiPriority w:val="99"/>
    <w:semiHidden/>
    <w:unhideWhenUsed/>
    <w:rsid w:val="0042058C"/>
  </w:style>
  <w:style w:type="numbering" w:customStyle="1" w:styleId="320">
    <w:name w:val="Нет списка32"/>
    <w:next w:val="aa"/>
    <w:uiPriority w:val="99"/>
    <w:semiHidden/>
    <w:unhideWhenUsed/>
    <w:rsid w:val="0042058C"/>
  </w:style>
  <w:style w:type="numbering" w:customStyle="1" w:styleId="132">
    <w:name w:val="Нет списка132"/>
    <w:next w:val="aa"/>
    <w:uiPriority w:val="99"/>
    <w:semiHidden/>
    <w:unhideWhenUsed/>
    <w:rsid w:val="0042058C"/>
  </w:style>
  <w:style w:type="numbering" w:customStyle="1" w:styleId="420">
    <w:name w:val="Нет списка42"/>
    <w:next w:val="aa"/>
    <w:uiPriority w:val="99"/>
    <w:semiHidden/>
    <w:unhideWhenUsed/>
    <w:rsid w:val="0042058C"/>
  </w:style>
  <w:style w:type="numbering" w:customStyle="1" w:styleId="1420">
    <w:name w:val="Нет списка142"/>
    <w:next w:val="aa"/>
    <w:uiPriority w:val="99"/>
    <w:semiHidden/>
    <w:unhideWhenUsed/>
    <w:rsid w:val="0042058C"/>
  </w:style>
  <w:style w:type="numbering" w:customStyle="1" w:styleId="76">
    <w:name w:val="Нет списка7"/>
    <w:next w:val="aa"/>
    <w:uiPriority w:val="99"/>
    <w:semiHidden/>
    <w:unhideWhenUsed/>
    <w:rsid w:val="0042058C"/>
  </w:style>
  <w:style w:type="numbering" w:customStyle="1" w:styleId="170">
    <w:name w:val="Нет списка17"/>
    <w:next w:val="aa"/>
    <w:uiPriority w:val="99"/>
    <w:semiHidden/>
    <w:unhideWhenUsed/>
    <w:rsid w:val="0042058C"/>
  </w:style>
  <w:style w:type="table" w:customStyle="1" w:styleId="-34">
    <w:name w:val="Таблица-список 34"/>
    <w:basedOn w:val="a9"/>
    <w:next w:val="-30"/>
    <w:rsid w:val="0042058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a"/>
    <w:uiPriority w:val="99"/>
    <w:semiHidden/>
    <w:unhideWhenUsed/>
    <w:rsid w:val="0042058C"/>
  </w:style>
  <w:style w:type="numbering" w:customStyle="1" w:styleId="240">
    <w:name w:val="Нет списка24"/>
    <w:next w:val="aa"/>
    <w:uiPriority w:val="99"/>
    <w:semiHidden/>
    <w:unhideWhenUsed/>
    <w:rsid w:val="0042058C"/>
  </w:style>
  <w:style w:type="numbering" w:customStyle="1" w:styleId="1231">
    <w:name w:val="Нет списка123"/>
    <w:next w:val="aa"/>
    <w:uiPriority w:val="99"/>
    <w:semiHidden/>
    <w:unhideWhenUsed/>
    <w:rsid w:val="0042058C"/>
  </w:style>
  <w:style w:type="numbering" w:customStyle="1" w:styleId="330">
    <w:name w:val="Нет списка33"/>
    <w:next w:val="aa"/>
    <w:uiPriority w:val="99"/>
    <w:semiHidden/>
    <w:unhideWhenUsed/>
    <w:rsid w:val="0042058C"/>
  </w:style>
  <w:style w:type="numbering" w:customStyle="1" w:styleId="133">
    <w:name w:val="Нет списка133"/>
    <w:next w:val="aa"/>
    <w:uiPriority w:val="99"/>
    <w:semiHidden/>
    <w:unhideWhenUsed/>
    <w:rsid w:val="0042058C"/>
  </w:style>
  <w:style w:type="numbering" w:customStyle="1" w:styleId="430">
    <w:name w:val="Нет списка43"/>
    <w:next w:val="aa"/>
    <w:uiPriority w:val="99"/>
    <w:semiHidden/>
    <w:unhideWhenUsed/>
    <w:rsid w:val="0042058C"/>
  </w:style>
  <w:style w:type="numbering" w:customStyle="1" w:styleId="143">
    <w:name w:val="Нет списка143"/>
    <w:next w:val="aa"/>
    <w:uiPriority w:val="99"/>
    <w:semiHidden/>
    <w:unhideWhenUsed/>
    <w:rsid w:val="0042058C"/>
  </w:style>
  <w:style w:type="numbering" w:customStyle="1" w:styleId="88">
    <w:name w:val="Нет списка8"/>
    <w:next w:val="aa"/>
    <w:uiPriority w:val="99"/>
    <w:semiHidden/>
    <w:unhideWhenUsed/>
    <w:rsid w:val="0042058C"/>
  </w:style>
  <w:style w:type="numbering" w:customStyle="1" w:styleId="180">
    <w:name w:val="Нет списка18"/>
    <w:next w:val="aa"/>
    <w:uiPriority w:val="99"/>
    <w:semiHidden/>
    <w:unhideWhenUsed/>
    <w:rsid w:val="0042058C"/>
  </w:style>
  <w:style w:type="table" w:customStyle="1" w:styleId="-35">
    <w:name w:val="Таблица-список 35"/>
    <w:basedOn w:val="a9"/>
    <w:next w:val="-30"/>
    <w:rsid w:val="0042058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a"/>
    <w:uiPriority w:val="99"/>
    <w:semiHidden/>
    <w:unhideWhenUsed/>
    <w:rsid w:val="0042058C"/>
  </w:style>
  <w:style w:type="numbering" w:customStyle="1" w:styleId="250">
    <w:name w:val="Нет списка25"/>
    <w:next w:val="aa"/>
    <w:uiPriority w:val="99"/>
    <w:semiHidden/>
    <w:unhideWhenUsed/>
    <w:rsid w:val="0042058C"/>
  </w:style>
  <w:style w:type="numbering" w:customStyle="1" w:styleId="124">
    <w:name w:val="Нет списка124"/>
    <w:next w:val="aa"/>
    <w:uiPriority w:val="99"/>
    <w:semiHidden/>
    <w:unhideWhenUsed/>
    <w:rsid w:val="0042058C"/>
  </w:style>
  <w:style w:type="numbering" w:customStyle="1" w:styleId="340">
    <w:name w:val="Нет списка34"/>
    <w:next w:val="aa"/>
    <w:uiPriority w:val="99"/>
    <w:semiHidden/>
    <w:unhideWhenUsed/>
    <w:rsid w:val="0042058C"/>
  </w:style>
  <w:style w:type="numbering" w:customStyle="1" w:styleId="134">
    <w:name w:val="Нет списка134"/>
    <w:next w:val="aa"/>
    <w:uiPriority w:val="99"/>
    <w:semiHidden/>
    <w:unhideWhenUsed/>
    <w:rsid w:val="0042058C"/>
  </w:style>
  <w:style w:type="numbering" w:customStyle="1" w:styleId="440">
    <w:name w:val="Нет списка44"/>
    <w:next w:val="aa"/>
    <w:uiPriority w:val="99"/>
    <w:semiHidden/>
    <w:unhideWhenUsed/>
    <w:rsid w:val="0042058C"/>
  </w:style>
  <w:style w:type="numbering" w:customStyle="1" w:styleId="144">
    <w:name w:val="Нет списка144"/>
    <w:next w:val="aa"/>
    <w:uiPriority w:val="99"/>
    <w:semiHidden/>
    <w:unhideWhenUsed/>
    <w:rsid w:val="0042058C"/>
  </w:style>
  <w:style w:type="numbering" w:customStyle="1" w:styleId="96">
    <w:name w:val="Нет списка9"/>
    <w:next w:val="aa"/>
    <w:uiPriority w:val="99"/>
    <w:semiHidden/>
    <w:unhideWhenUsed/>
    <w:rsid w:val="0042058C"/>
  </w:style>
  <w:style w:type="numbering" w:customStyle="1" w:styleId="190">
    <w:name w:val="Нет списка19"/>
    <w:next w:val="aa"/>
    <w:uiPriority w:val="99"/>
    <w:semiHidden/>
    <w:unhideWhenUsed/>
    <w:rsid w:val="0042058C"/>
  </w:style>
  <w:style w:type="table" w:customStyle="1" w:styleId="-36">
    <w:name w:val="Таблица-список 36"/>
    <w:basedOn w:val="a9"/>
    <w:next w:val="-30"/>
    <w:rsid w:val="0042058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a"/>
    <w:uiPriority w:val="99"/>
    <w:semiHidden/>
    <w:unhideWhenUsed/>
    <w:rsid w:val="0042058C"/>
  </w:style>
  <w:style w:type="numbering" w:customStyle="1" w:styleId="260">
    <w:name w:val="Нет списка26"/>
    <w:next w:val="aa"/>
    <w:uiPriority w:val="99"/>
    <w:semiHidden/>
    <w:unhideWhenUsed/>
    <w:rsid w:val="0042058C"/>
  </w:style>
  <w:style w:type="numbering" w:customStyle="1" w:styleId="125">
    <w:name w:val="Нет списка125"/>
    <w:next w:val="aa"/>
    <w:uiPriority w:val="99"/>
    <w:semiHidden/>
    <w:unhideWhenUsed/>
    <w:rsid w:val="0042058C"/>
  </w:style>
  <w:style w:type="numbering" w:customStyle="1" w:styleId="350">
    <w:name w:val="Нет списка35"/>
    <w:next w:val="aa"/>
    <w:uiPriority w:val="99"/>
    <w:semiHidden/>
    <w:unhideWhenUsed/>
    <w:rsid w:val="0042058C"/>
  </w:style>
  <w:style w:type="numbering" w:customStyle="1" w:styleId="135">
    <w:name w:val="Нет списка135"/>
    <w:next w:val="aa"/>
    <w:uiPriority w:val="99"/>
    <w:semiHidden/>
    <w:unhideWhenUsed/>
    <w:rsid w:val="0042058C"/>
  </w:style>
  <w:style w:type="numbering" w:customStyle="1" w:styleId="450">
    <w:name w:val="Нет списка45"/>
    <w:next w:val="aa"/>
    <w:uiPriority w:val="99"/>
    <w:semiHidden/>
    <w:unhideWhenUsed/>
    <w:rsid w:val="0042058C"/>
  </w:style>
  <w:style w:type="numbering" w:customStyle="1" w:styleId="145">
    <w:name w:val="Нет списка145"/>
    <w:next w:val="aa"/>
    <w:uiPriority w:val="99"/>
    <w:semiHidden/>
    <w:unhideWhenUsed/>
    <w:rsid w:val="0042058C"/>
  </w:style>
  <w:style w:type="paragraph" w:customStyle="1" w:styleId="afffffffffff7">
    <w:name w:val="Подпись рисунка"/>
    <w:basedOn w:val="aff9"/>
    <w:link w:val="afffffffffff8"/>
    <w:qFormat/>
    <w:rsid w:val="0042058C"/>
    <w:pPr>
      <w:spacing w:before="120" w:line="240" w:lineRule="auto"/>
      <w:jc w:val="center"/>
    </w:pPr>
    <w:rPr>
      <w:rFonts w:ascii="Times New Roman" w:eastAsia="Times New Roman" w:hAnsi="Times New Roman"/>
      <w:b/>
      <w:sz w:val="26"/>
      <w:szCs w:val="26"/>
      <w:lang w:eastAsia="ru-RU"/>
    </w:rPr>
  </w:style>
  <w:style w:type="character" w:customStyle="1" w:styleId="afffffffffff8">
    <w:name w:val="Подпись рисунка Знак"/>
    <w:link w:val="afffffffffff7"/>
    <w:rsid w:val="0042058C"/>
    <w:rPr>
      <w:rFonts w:ascii="Times New Roman" w:eastAsia="Times New Roman" w:hAnsi="Times New Roman" w:cs="Times New Roman"/>
      <w:b/>
      <w:sz w:val="26"/>
      <w:szCs w:val="26"/>
      <w:lang w:eastAsia="ru-RU"/>
    </w:rPr>
  </w:style>
  <w:style w:type="character" w:customStyle="1" w:styleId="97">
    <w:name w:val="Основной текст9"/>
    <w:rsid w:val="0042058C"/>
    <w:rPr>
      <w:spacing w:val="0"/>
      <w:sz w:val="18"/>
      <w:szCs w:val="18"/>
      <w:shd w:val="clear" w:color="auto" w:fill="FFFFFF"/>
    </w:rPr>
  </w:style>
  <w:style w:type="paragraph" w:customStyle="1" w:styleId="11e">
    <w:name w:val="Основной текст11"/>
    <w:basedOn w:val="a7"/>
    <w:rsid w:val="0042058C"/>
    <w:pPr>
      <w:shd w:val="clear" w:color="auto" w:fill="FFFFFF"/>
      <w:spacing w:before="120" w:after="120" w:line="240" w:lineRule="exact"/>
    </w:pPr>
    <w:rPr>
      <w:rFonts w:ascii="Calibri" w:eastAsia="Calibri" w:hAnsi="Calibri" w:cs="Times New Roman"/>
      <w:sz w:val="18"/>
      <w:szCs w:val="18"/>
    </w:rPr>
  </w:style>
  <w:style w:type="character" w:customStyle="1" w:styleId="afffffffffff9">
    <w:name w:val="Подпись к таблице_"/>
    <w:rsid w:val="0042058C"/>
    <w:rPr>
      <w:rFonts w:ascii="Trebuchet MS" w:eastAsia="Trebuchet MS" w:hAnsi="Trebuchet MS" w:cs="Trebuchet MS"/>
      <w:sz w:val="21"/>
      <w:szCs w:val="21"/>
      <w:shd w:val="clear" w:color="auto" w:fill="FFFFFF"/>
    </w:rPr>
  </w:style>
  <w:style w:type="paragraph" w:customStyle="1" w:styleId="arttx">
    <w:name w:val="arttx"/>
    <w:basedOn w:val="a7"/>
    <w:uiPriority w:val="99"/>
    <w:rsid w:val="0042058C"/>
    <w:pPr>
      <w:spacing w:before="120" w:after="60" w:line="240" w:lineRule="auto"/>
    </w:pPr>
    <w:rPr>
      <w:rFonts w:ascii="Times New Roman" w:eastAsia="Times New Roman" w:hAnsi="Times New Roman" w:cs="Times New Roman"/>
      <w:lang w:eastAsia="ru-RU"/>
    </w:rPr>
  </w:style>
  <w:style w:type="paragraph" w:customStyle="1" w:styleId="xl97">
    <w:name w:val="xl9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7"/>
    <w:rsid w:val="00420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7"/>
    <w:rsid w:val="0042058C"/>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7"/>
    <w:rsid w:val="0042058C"/>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7"/>
    <w:rsid w:val="0042058C"/>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7"/>
    <w:rsid w:val="004205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7"/>
    <w:rsid w:val="0042058C"/>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7"/>
    <w:rsid w:val="0042058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7"/>
    <w:rsid w:val="0042058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7"/>
    <w:rsid w:val="0042058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7"/>
    <w:rsid w:val="0042058C"/>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7"/>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7"/>
    <w:rsid w:val="004205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7"/>
    <w:rsid w:val="0042058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7"/>
    <w:rsid w:val="0042058C"/>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7"/>
    <w:rsid w:val="0042058C"/>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7"/>
    <w:rsid w:val="004205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7"/>
    <w:rsid w:val="0042058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7"/>
    <w:uiPriority w:val="34"/>
    <w:qFormat/>
    <w:rsid w:val="0042058C"/>
    <w:pPr>
      <w:spacing w:before="120"/>
      <w:ind w:left="720"/>
      <w:contextualSpacing/>
    </w:pPr>
    <w:rPr>
      <w:rFonts w:ascii="Calibri" w:eastAsia="Times New Roman" w:hAnsi="Calibri" w:cs="Times New Roman"/>
      <w:lang w:eastAsia="ru-RU"/>
    </w:rPr>
  </w:style>
  <w:style w:type="paragraph" w:customStyle="1" w:styleId="1fff9">
    <w:name w:val="Знак Знак Знак1"/>
    <w:basedOn w:val="a7"/>
    <w:rsid w:val="0042058C"/>
    <w:pPr>
      <w:spacing w:before="120" w:after="160" w:line="240" w:lineRule="exact"/>
    </w:pPr>
    <w:rPr>
      <w:rFonts w:ascii="Verdana" w:eastAsia="Times New Roman" w:hAnsi="Verdana" w:cs="Verdana"/>
      <w:sz w:val="20"/>
      <w:szCs w:val="20"/>
      <w:lang w:val="en-US"/>
    </w:rPr>
  </w:style>
  <w:style w:type="paragraph" w:customStyle="1" w:styleId="a20">
    <w:name w:val="a2"/>
    <w:basedOn w:val="a7"/>
    <w:uiPriority w:val="99"/>
    <w:rsid w:val="0042058C"/>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a">
    <w:name w:val="Основной текст 31"/>
    <w:basedOn w:val="a7"/>
    <w:uiPriority w:val="99"/>
    <w:rsid w:val="0042058C"/>
    <w:pPr>
      <w:tabs>
        <w:tab w:val="left" w:pos="708"/>
      </w:tabs>
      <w:spacing w:before="120" w:after="120" w:line="240" w:lineRule="auto"/>
      <w:jc w:val="both"/>
    </w:pPr>
    <w:rPr>
      <w:rFonts w:ascii="Times New Roman" w:eastAsia="Times New Roman" w:hAnsi="Times New Roman" w:cs="Times New Roman"/>
      <w:i/>
      <w:szCs w:val="20"/>
      <w:lang w:eastAsia="ru-RU"/>
    </w:rPr>
  </w:style>
  <w:style w:type="character" w:customStyle="1" w:styleId="812">
    <w:name w:val="Заголовок 8 Знак1"/>
    <w:semiHidden/>
    <w:rsid w:val="0042058C"/>
    <w:rPr>
      <w:rFonts w:ascii="Cambria" w:eastAsia="Times New Roman" w:hAnsi="Cambria" w:cs="Times New Roman"/>
      <w:color w:val="404040"/>
    </w:rPr>
  </w:style>
  <w:style w:type="character" w:customStyle="1" w:styleId="910">
    <w:name w:val="Заголовок 9 Знак1"/>
    <w:semiHidden/>
    <w:rsid w:val="0042058C"/>
    <w:rPr>
      <w:rFonts w:ascii="Cambria" w:eastAsia="Times New Roman" w:hAnsi="Cambria" w:cs="Times New Roman"/>
      <w:i/>
      <w:iCs/>
      <w:color w:val="404040"/>
    </w:rPr>
  </w:style>
  <w:style w:type="character" w:customStyle="1" w:styleId="1fffa">
    <w:name w:val="Подзаголовок Знак1"/>
    <w:rsid w:val="0042058C"/>
    <w:rPr>
      <w:rFonts w:ascii="Cambria" w:eastAsia="Times New Roman" w:hAnsi="Cambria" w:cs="Times New Roman"/>
      <w:i/>
      <w:iCs/>
      <w:color w:val="4F81BD"/>
      <w:spacing w:val="15"/>
      <w:sz w:val="24"/>
      <w:szCs w:val="24"/>
      <w:lang w:eastAsia="en-US"/>
    </w:rPr>
  </w:style>
  <w:style w:type="character" w:customStyle="1" w:styleId="21f0">
    <w:name w:val="Цитата 2 Знак1"/>
    <w:uiPriority w:val="29"/>
    <w:rsid w:val="0042058C"/>
    <w:rPr>
      <w:rFonts w:ascii="Calibri" w:eastAsia="Calibri" w:hAnsi="Calibri" w:cs="Times New Roman"/>
      <w:i/>
      <w:iCs/>
      <w:color w:val="000000"/>
      <w:sz w:val="22"/>
      <w:szCs w:val="22"/>
      <w:lang w:eastAsia="en-US"/>
    </w:rPr>
  </w:style>
  <w:style w:type="character" w:customStyle="1" w:styleId="1fffb">
    <w:name w:val="Выделенная цитата Знак1"/>
    <w:uiPriority w:val="30"/>
    <w:rsid w:val="0042058C"/>
    <w:rPr>
      <w:rFonts w:ascii="Calibri" w:eastAsia="Calibri" w:hAnsi="Calibri" w:cs="Times New Roman"/>
      <w:b/>
      <w:bCs/>
      <w:i/>
      <w:iCs/>
      <w:color w:val="4F81BD"/>
      <w:sz w:val="22"/>
      <w:szCs w:val="22"/>
      <w:lang w:eastAsia="en-US"/>
    </w:rPr>
  </w:style>
  <w:style w:type="character" w:customStyle="1" w:styleId="1fffc">
    <w:name w:val="Шапка Знак1"/>
    <w:semiHidden/>
    <w:rsid w:val="0042058C"/>
    <w:rPr>
      <w:rFonts w:ascii="Cambria" w:eastAsia="Times New Roman" w:hAnsi="Cambria" w:cs="Times New Roman"/>
      <w:sz w:val="24"/>
      <w:szCs w:val="24"/>
      <w:shd w:val="pct20" w:color="auto" w:fill="auto"/>
      <w:lang w:eastAsia="en-US"/>
    </w:rPr>
  </w:style>
  <w:style w:type="character" w:customStyle="1" w:styleId="1fffd">
    <w:name w:val="Дата Знак1"/>
    <w:semiHidden/>
    <w:rsid w:val="0042058C"/>
    <w:rPr>
      <w:rFonts w:ascii="Calibri" w:eastAsia="Calibri" w:hAnsi="Calibri" w:cs="Times New Roman"/>
      <w:sz w:val="22"/>
      <w:szCs w:val="22"/>
      <w:lang w:eastAsia="en-US"/>
    </w:rPr>
  </w:style>
  <w:style w:type="character" w:customStyle="1" w:styleId="1fffe">
    <w:name w:val="Заголовок записки Знак1"/>
    <w:semiHidden/>
    <w:rsid w:val="0042058C"/>
    <w:rPr>
      <w:rFonts w:ascii="Calibri" w:eastAsia="Calibri" w:hAnsi="Calibri" w:cs="Times New Roman"/>
      <w:sz w:val="22"/>
      <w:szCs w:val="22"/>
      <w:lang w:eastAsia="en-US"/>
    </w:rPr>
  </w:style>
  <w:style w:type="character" w:customStyle="1" w:styleId="1ffff">
    <w:name w:val="Красная строка Знак1"/>
    <w:semiHidden/>
    <w:rsid w:val="0042058C"/>
    <w:rPr>
      <w:rFonts w:ascii="Calibri" w:eastAsia="Calibri" w:hAnsi="Calibri" w:cs="Times New Roman"/>
      <w:sz w:val="22"/>
      <w:szCs w:val="22"/>
      <w:lang w:eastAsia="en-US"/>
    </w:rPr>
  </w:style>
  <w:style w:type="character" w:customStyle="1" w:styleId="21f1">
    <w:name w:val="Красная строка 2 Знак1"/>
    <w:semiHidden/>
    <w:rsid w:val="0042058C"/>
    <w:rPr>
      <w:rFonts w:ascii="Calibri" w:eastAsia="Calibri" w:hAnsi="Calibri" w:cs="Times New Roman"/>
      <w:sz w:val="22"/>
      <w:szCs w:val="22"/>
      <w:lang w:eastAsia="en-US"/>
    </w:rPr>
  </w:style>
  <w:style w:type="character" w:customStyle="1" w:styleId="1ffff0">
    <w:name w:val="Подпись Знак1"/>
    <w:semiHidden/>
    <w:rsid w:val="0042058C"/>
    <w:rPr>
      <w:rFonts w:ascii="Calibri" w:eastAsia="Calibri" w:hAnsi="Calibri" w:cs="Times New Roman"/>
      <w:sz w:val="22"/>
      <w:szCs w:val="22"/>
      <w:lang w:eastAsia="en-US"/>
    </w:rPr>
  </w:style>
  <w:style w:type="character" w:customStyle="1" w:styleId="1ffff1">
    <w:name w:val="Приветствие Знак1"/>
    <w:semiHidden/>
    <w:rsid w:val="0042058C"/>
    <w:rPr>
      <w:rFonts w:ascii="Calibri" w:eastAsia="Calibri" w:hAnsi="Calibri" w:cs="Times New Roman"/>
      <w:sz w:val="22"/>
      <w:szCs w:val="22"/>
      <w:lang w:eastAsia="en-US"/>
    </w:rPr>
  </w:style>
  <w:style w:type="character" w:customStyle="1" w:styleId="1ffff2">
    <w:name w:val="Прощание Знак1"/>
    <w:semiHidden/>
    <w:rsid w:val="0042058C"/>
    <w:rPr>
      <w:rFonts w:ascii="Calibri" w:eastAsia="Calibri" w:hAnsi="Calibri" w:cs="Times New Roman"/>
      <w:sz w:val="22"/>
      <w:szCs w:val="22"/>
      <w:lang w:eastAsia="en-US"/>
    </w:rPr>
  </w:style>
  <w:style w:type="character" w:customStyle="1" w:styleId="1ffff3">
    <w:name w:val="Электронная подпись Знак1"/>
    <w:semiHidden/>
    <w:rsid w:val="0042058C"/>
    <w:rPr>
      <w:rFonts w:ascii="Calibri" w:eastAsia="Calibri" w:hAnsi="Calibri" w:cs="Times New Roman"/>
      <w:sz w:val="22"/>
      <w:szCs w:val="22"/>
      <w:lang w:eastAsia="en-US"/>
    </w:rPr>
  </w:style>
  <w:style w:type="character" w:customStyle="1" w:styleId="ucoz-forum-post">
    <w:name w:val="ucoz-forum-post"/>
    <w:rsid w:val="0042058C"/>
  </w:style>
  <w:style w:type="character" w:customStyle="1" w:styleId="titlerazdel">
    <w:name w:val="title_razdel"/>
    <w:rsid w:val="0042058C"/>
  </w:style>
  <w:style w:type="paragraph" w:customStyle="1" w:styleId="xl22">
    <w:name w:val="xl22"/>
    <w:basedOn w:val="a7"/>
    <w:semiHidden/>
    <w:rsid w:val="0042058C"/>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a">
    <w:name w:val="Заглавие раздела"/>
    <w:basedOn w:val="24"/>
    <w:semiHidden/>
    <w:rsid w:val="0042058C"/>
    <w:pPr>
      <w:keepNext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lang w:eastAsia="ru-RU"/>
    </w:rPr>
  </w:style>
  <w:style w:type="paragraph" w:customStyle="1" w:styleId="1ffff4">
    <w:name w:val="Заголовок_1 Знак"/>
    <w:basedOn w:val="a7"/>
    <w:link w:val="1ffff5"/>
    <w:semiHidden/>
    <w:rsid w:val="0042058C"/>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f5">
    <w:name w:val="Заголовок_1 Знак Знак"/>
    <w:link w:val="1ffff4"/>
    <w:semiHidden/>
    <w:rsid w:val="0042058C"/>
    <w:rPr>
      <w:rFonts w:ascii="Times New Roman" w:eastAsia="Times New Roman" w:hAnsi="Times New Roman" w:cs="Times New Roman"/>
      <w:b/>
      <w:caps/>
      <w:sz w:val="24"/>
      <w:szCs w:val="24"/>
      <w:lang w:eastAsia="ru-RU"/>
    </w:rPr>
  </w:style>
  <w:style w:type="paragraph" w:customStyle="1" w:styleId="afffffffffffb">
    <w:name w:val="Неразрывный основной текст"/>
    <w:basedOn w:val="aff9"/>
    <w:semiHidden/>
    <w:rsid w:val="0042058C"/>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fc">
    <w:name w:val="Рисунок"/>
    <w:basedOn w:val="a7"/>
    <w:next w:val="ab"/>
    <w:semiHidden/>
    <w:rsid w:val="0042058C"/>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d">
    <w:name w:val="Название части"/>
    <w:basedOn w:val="a7"/>
    <w:semiHidden/>
    <w:rsid w:val="0042058C"/>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e">
    <w:name w:val="Подзаголовок главы"/>
    <w:basedOn w:val="affff1"/>
    <w:semiHidden/>
    <w:rsid w:val="0042058C"/>
    <w:pPr>
      <w:keepNext/>
      <w:keepLines/>
      <w:spacing w:before="60" w:line="340" w:lineRule="atLeast"/>
      <w:ind w:firstLine="709"/>
      <w:jc w:val="left"/>
    </w:pPr>
    <w:rPr>
      <w:rFonts w:ascii="Arial" w:hAnsi="Arial" w:cs="Arial"/>
      <w:b w:val="0"/>
      <w:bCs w:val="0"/>
      <w:i w:val="0"/>
      <w:color w:val="auto"/>
      <w:spacing w:val="-16"/>
      <w:kern w:val="28"/>
      <w:sz w:val="32"/>
      <w:szCs w:val="32"/>
      <w:lang w:eastAsia="en-US"/>
    </w:rPr>
  </w:style>
  <w:style w:type="paragraph" w:customStyle="1" w:styleId="1ffff6">
    <w:name w:val="Маркированный_1"/>
    <w:basedOn w:val="a7"/>
    <w:link w:val="1ffff7"/>
    <w:semiHidden/>
    <w:rsid w:val="0042058C"/>
    <w:pPr>
      <w:tabs>
        <w:tab w:val="left" w:pos="900"/>
      </w:tab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ffff7">
    <w:name w:val="Маркированный_1 Знак"/>
    <w:link w:val="1ffff6"/>
    <w:semiHidden/>
    <w:rsid w:val="0042058C"/>
    <w:rPr>
      <w:rFonts w:ascii="Times New Roman" w:eastAsia="Times New Roman" w:hAnsi="Times New Roman" w:cs="Times New Roman"/>
      <w:sz w:val="24"/>
      <w:szCs w:val="24"/>
      <w:lang w:eastAsia="ru-RU"/>
    </w:rPr>
  </w:style>
  <w:style w:type="paragraph" w:customStyle="1" w:styleId="affffffffffff">
    <w:name w:val="Подчеркнутый"/>
    <w:basedOn w:val="a7"/>
    <w:link w:val="affffffffffff0"/>
    <w:semiHidden/>
    <w:rsid w:val="0042058C"/>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f0">
    <w:name w:val="Подчеркнутый Знак"/>
    <w:link w:val="affffffffffff"/>
    <w:semiHidden/>
    <w:rsid w:val="0042058C"/>
    <w:rPr>
      <w:rFonts w:ascii="Times New Roman" w:eastAsia="Times New Roman" w:hAnsi="Times New Roman" w:cs="Times New Roman"/>
      <w:sz w:val="24"/>
      <w:szCs w:val="24"/>
      <w:u w:val="single"/>
      <w:lang w:eastAsia="ru-RU"/>
    </w:rPr>
  </w:style>
  <w:style w:type="paragraph" w:customStyle="1" w:styleId="affffffffffff1">
    <w:name w:val="Название документа"/>
    <w:basedOn w:val="a7"/>
    <w:semiHidden/>
    <w:rsid w:val="0042058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2">
    <w:name w:val="Нижний колонтитул (четный)"/>
    <w:basedOn w:val="af0"/>
    <w:semiHidden/>
    <w:rsid w:val="0042058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3">
    <w:name w:val="Нижний колонтитул (первый)"/>
    <w:basedOn w:val="af0"/>
    <w:semiHidden/>
    <w:rsid w:val="0042058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4">
    <w:name w:val="Нижний колонтитул (нечетный)"/>
    <w:basedOn w:val="af0"/>
    <w:semiHidden/>
    <w:rsid w:val="0042058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5">
    <w:name w:val="Подзаголовок части"/>
    <w:basedOn w:val="a7"/>
    <w:next w:val="aff9"/>
    <w:semiHidden/>
    <w:rsid w:val="0042058C"/>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6">
    <w:name w:val="Обратный адрес"/>
    <w:basedOn w:val="a7"/>
    <w:semiHidden/>
    <w:rsid w:val="0042058C"/>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7">
    <w:name w:val="Название раздела"/>
    <w:basedOn w:val="a7"/>
    <w:next w:val="aff9"/>
    <w:semiHidden/>
    <w:rsid w:val="0042058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8">
    <w:name w:val="Подзаголовок титульного листа"/>
    <w:basedOn w:val="a7"/>
    <w:next w:val="aff9"/>
    <w:semiHidden/>
    <w:rsid w:val="0042058C"/>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9">
    <w:name w:val="Надстрочный"/>
    <w:semiHidden/>
    <w:rsid w:val="0042058C"/>
    <w:rPr>
      <w:b/>
      <w:bCs/>
      <w:vertAlign w:val="superscript"/>
    </w:rPr>
  </w:style>
  <w:style w:type="paragraph" w:customStyle="1" w:styleId="affffffffffffa">
    <w:name w:val="Обычный в таблице"/>
    <w:basedOn w:val="a7"/>
    <w:link w:val="affffffffffffb"/>
    <w:semiHidden/>
    <w:rsid w:val="0042058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fff8">
    <w:name w:val="Заголовок_1 Знак Знак Знак"/>
    <w:semiHidden/>
    <w:rsid w:val="0042058C"/>
    <w:rPr>
      <w:b/>
      <w:caps/>
      <w:sz w:val="24"/>
      <w:szCs w:val="24"/>
      <w:lang w:val="ru-RU" w:eastAsia="ru-RU" w:bidi="ar-SA"/>
    </w:rPr>
  </w:style>
  <w:style w:type="paragraph" w:customStyle="1" w:styleId="1ffff9">
    <w:name w:val="Заголовок1"/>
    <w:basedOn w:val="a7"/>
    <w:semiHidden/>
    <w:rsid w:val="0042058C"/>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ffffffc">
    <w:name w:val="База заголовка"/>
    <w:basedOn w:val="a7"/>
    <w:next w:val="aff9"/>
    <w:semiHidden/>
    <w:rsid w:val="0042058C"/>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d">
    <w:name w:val="Цитаты"/>
    <w:basedOn w:val="a7"/>
    <w:semiHidden/>
    <w:rsid w:val="0042058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e">
    <w:name w:val="Заголовок части"/>
    <w:basedOn w:val="a7"/>
    <w:semiHidden/>
    <w:rsid w:val="0042058C"/>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f">
    <w:name w:val="Заголовок главы"/>
    <w:basedOn w:val="a7"/>
    <w:semiHidden/>
    <w:rsid w:val="0042058C"/>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f0">
    <w:name w:val="База сноски"/>
    <w:basedOn w:val="a7"/>
    <w:semiHidden/>
    <w:rsid w:val="0042058C"/>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1">
    <w:name w:val="Заголовок титульного листа"/>
    <w:basedOn w:val="affffffffffffc"/>
    <w:next w:val="a7"/>
    <w:semiHidden/>
    <w:rsid w:val="0042058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2">
    <w:name w:val="База верхнего колонтитула"/>
    <w:basedOn w:val="a7"/>
    <w:semiHidden/>
    <w:rsid w:val="0042058C"/>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3">
    <w:name w:val="Верхний колонтитул (четный)"/>
    <w:basedOn w:val="aff1"/>
    <w:semiHidden/>
    <w:rsid w:val="0042058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4">
    <w:name w:val="Верхний колонтитул (первый)"/>
    <w:basedOn w:val="aff1"/>
    <w:semiHidden/>
    <w:rsid w:val="0042058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5">
    <w:name w:val="Верхний колонтитул (нечетный)"/>
    <w:basedOn w:val="aff1"/>
    <w:semiHidden/>
    <w:rsid w:val="0042058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6">
    <w:name w:val="База указателя"/>
    <w:basedOn w:val="a7"/>
    <w:semiHidden/>
    <w:rsid w:val="0042058C"/>
    <w:pPr>
      <w:spacing w:after="0" w:line="240" w:lineRule="atLeast"/>
      <w:ind w:left="360" w:hanging="360"/>
      <w:jc w:val="both"/>
    </w:pPr>
    <w:rPr>
      <w:rFonts w:ascii="Arial" w:eastAsia="Times New Roman" w:hAnsi="Arial" w:cs="Arial"/>
      <w:spacing w:val="-5"/>
      <w:sz w:val="18"/>
      <w:szCs w:val="18"/>
    </w:rPr>
  </w:style>
  <w:style w:type="character" w:customStyle="1" w:styleId="afffffffffffff7">
    <w:name w:val="Вступление"/>
    <w:semiHidden/>
    <w:rsid w:val="0042058C"/>
    <w:rPr>
      <w:rFonts w:ascii="Arial Black" w:hAnsi="Arial Black" w:cs="Arial Black"/>
      <w:spacing w:val="-4"/>
      <w:sz w:val="18"/>
      <w:szCs w:val="18"/>
    </w:rPr>
  </w:style>
  <w:style w:type="paragraph" w:customStyle="1" w:styleId="afffffffffffff8">
    <w:name w:val="Заголовок таблицы"/>
    <w:basedOn w:val="a7"/>
    <w:semiHidden/>
    <w:rsid w:val="0042058C"/>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ffffff9">
    <w:name w:val="Девиз"/>
    <w:semiHidden/>
    <w:rsid w:val="0042058C"/>
    <w:rPr>
      <w:i/>
      <w:iCs/>
      <w:spacing w:val="-6"/>
      <w:sz w:val="24"/>
      <w:szCs w:val="24"/>
      <w:lang w:val="ru-RU"/>
    </w:rPr>
  </w:style>
  <w:style w:type="paragraph" w:customStyle="1" w:styleId="afffffffffffffa">
    <w:name w:val="База оглавления"/>
    <w:basedOn w:val="a7"/>
    <w:semiHidden/>
    <w:rsid w:val="0042058C"/>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fa">
    <w:name w:val="Название объекта1"/>
    <w:basedOn w:val="a7"/>
    <w:semiHidden/>
    <w:rsid w:val="0042058C"/>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b">
    <w:name w:val="Цитата1"/>
    <w:basedOn w:val="a7"/>
    <w:semiHidden/>
    <w:rsid w:val="0042058C"/>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fc">
    <w:name w:val="Маркированный список1"/>
    <w:basedOn w:val="a7"/>
    <w:semiHidden/>
    <w:rsid w:val="0042058C"/>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fd">
    <w:name w:val="Нумерованный список1"/>
    <w:basedOn w:val="a7"/>
    <w:semiHidden/>
    <w:rsid w:val="0042058C"/>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e">
    <w:name w:val="Заголовок_1"/>
    <w:semiHidden/>
    <w:rsid w:val="0042058C"/>
    <w:rPr>
      <w:caps/>
    </w:rPr>
  </w:style>
  <w:style w:type="character" w:customStyle="1" w:styleId="1fffff">
    <w:name w:val="Маркированный_1 Знак Знак"/>
    <w:semiHidden/>
    <w:rsid w:val="0042058C"/>
    <w:rPr>
      <w:sz w:val="24"/>
      <w:szCs w:val="24"/>
      <w:lang w:val="ru-RU" w:eastAsia="ru-RU" w:bidi="ar-SA"/>
    </w:rPr>
  </w:style>
  <w:style w:type="character" w:customStyle="1" w:styleId="afffffffffffffb">
    <w:name w:val="Подчеркнутый Знак Знак"/>
    <w:semiHidden/>
    <w:rsid w:val="0042058C"/>
    <w:rPr>
      <w:sz w:val="24"/>
      <w:szCs w:val="24"/>
      <w:u w:val="single"/>
      <w:lang w:val="ru-RU" w:eastAsia="ru-RU" w:bidi="ar-SA"/>
    </w:rPr>
  </w:style>
  <w:style w:type="paragraph" w:customStyle="1" w:styleId="afffffffffffffc">
    <w:name w:val="Статья"/>
    <w:basedOn w:val="a7"/>
    <w:semiHidden/>
    <w:rsid w:val="0042058C"/>
    <w:pPr>
      <w:spacing w:after="0" w:line="240" w:lineRule="auto"/>
      <w:jc w:val="both"/>
    </w:pPr>
    <w:rPr>
      <w:rFonts w:ascii="Times New Roman" w:eastAsia="Times New Roman" w:hAnsi="Times New Roman" w:cs="Times New Roman"/>
      <w:sz w:val="24"/>
      <w:szCs w:val="24"/>
      <w:lang w:eastAsia="ru-RU"/>
    </w:rPr>
  </w:style>
  <w:style w:type="paragraph" w:customStyle="1" w:styleId="1fffff0">
    <w:name w:val="текст 1"/>
    <w:basedOn w:val="a7"/>
    <w:next w:val="a7"/>
    <w:semiHidden/>
    <w:rsid w:val="0042058C"/>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d">
    <w:name w:val="Заголовок таблици"/>
    <w:basedOn w:val="1fffff0"/>
    <w:semiHidden/>
    <w:rsid w:val="0042058C"/>
    <w:rPr>
      <w:sz w:val="22"/>
    </w:rPr>
  </w:style>
  <w:style w:type="paragraph" w:customStyle="1" w:styleId="afffffffffffffe">
    <w:name w:val="Номер таблици"/>
    <w:basedOn w:val="a7"/>
    <w:next w:val="a7"/>
    <w:semiHidden/>
    <w:rsid w:val="0042058C"/>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f">
    <w:name w:val="Приложение"/>
    <w:basedOn w:val="a7"/>
    <w:next w:val="a7"/>
    <w:semiHidden/>
    <w:rsid w:val="0042058C"/>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f0">
    <w:name w:val="Обычный по таблице"/>
    <w:basedOn w:val="a7"/>
    <w:semiHidden/>
    <w:rsid w:val="0042058C"/>
    <w:pPr>
      <w:spacing w:after="0" w:line="240" w:lineRule="auto"/>
    </w:pPr>
    <w:rPr>
      <w:rFonts w:ascii="Times New Roman" w:eastAsia="Times New Roman" w:hAnsi="Times New Roman" w:cs="Times New Roman"/>
      <w:sz w:val="24"/>
      <w:szCs w:val="24"/>
      <w:lang w:eastAsia="ru-RU"/>
    </w:rPr>
  </w:style>
  <w:style w:type="character" w:customStyle="1" w:styleId="affffffffffffb">
    <w:name w:val="Обычный в таблице Знак"/>
    <w:link w:val="affffffffffffa"/>
    <w:semiHidden/>
    <w:rsid w:val="0042058C"/>
    <w:rPr>
      <w:rFonts w:ascii="Times New Roman" w:eastAsia="Times New Roman" w:hAnsi="Times New Roman" w:cs="Times New Roman"/>
      <w:sz w:val="28"/>
      <w:szCs w:val="28"/>
      <w:lang w:eastAsia="ru-RU"/>
    </w:rPr>
  </w:style>
  <w:style w:type="paragraph" w:customStyle="1" w:styleId="xl24">
    <w:name w:val="xl24"/>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4205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7"/>
    <w:semiHidden/>
    <w:rsid w:val="004205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7"/>
    <w:semiHidden/>
    <w:rsid w:val="00420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7"/>
    <w:semiHidden/>
    <w:rsid w:val="004205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7"/>
    <w:semiHidden/>
    <w:rsid w:val="00420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7"/>
    <w:semiHidden/>
    <w:rsid w:val="00420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7"/>
    <w:semiHidden/>
    <w:rsid w:val="00420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f1">
    <w:name w:val="Маркированный_1 Знак Знак Знак"/>
    <w:semiHidden/>
    <w:rsid w:val="0042058C"/>
    <w:rPr>
      <w:sz w:val="24"/>
      <w:szCs w:val="24"/>
      <w:lang w:val="ru-RU" w:eastAsia="ru-RU" w:bidi="ar-SA"/>
    </w:rPr>
  </w:style>
  <w:style w:type="paragraph" w:customStyle="1" w:styleId="xl38">
    <w:name w:val="xl38"/>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7"/>
    <w:semiHidden/>
    <w:rsid w:val="0042058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7"/>
    <w:semiHidden/>
    <w:rsid w:val="0042058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42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42058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42058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42058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42058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42058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1">
    <w:name w:val="Подчеркнутый Знак Знак Знак"/>
    <w:semiHidden/>
    <w:rsid w:val="0042058C"/>
    <w:rPr>
      <w:sz w:val="24"/>
      <w:szCs w:val="24"/>
      <w:u w:val="single"/>
      <w:lang w:val="ru-RU" w:eastAsia="ru-RU" w:bidi="ar-SA"/>
    </w:rPr>
  </w:style>
  <w:style w:type="character" w:customStyle="1" w:styleId="1fffff2">
    <w:name w:val="Маркированный_1 Знак Знак Знак Знак"/>
    <w:semiHidden/>
    <w:rsid w:val="0042058C"/>
    <w:rPr>
      <w:sz w:val="24"/>
      <w:szCs w:val="24"/>
      <w:lang w:val="ru-RU" w:eastAsia="ru-RU" w:bidi="ar-SA"/>
    </w:rPr>
  </w:style>
  <w:style w:type="character" w:customStyle="1" w:styleId="1fffff3">
    <w:name w:val="Подчеркнутый Знак Знак1"/>
    <w:semiHidden/>
    <w:rsid w:val="0042058C"/>
    <w:rPr>
      <w:sz w:val="24"/>
      <w:szCs w:val="24"/>
      <w:u w:val="single"/>
      <w:lang w:val="ru-RU" w:eastAsia="ru-RU" w:bidi="ar-SA"/>
    </w:rPr>
  </w:style>
  <w:style w:type="character" w:customStyle="1" w:styleId="S41">
    <w:name w:val="S_Заголовок 4 Знак"/>
    <w:link w:val="S40"/>
    <w:rsid w:val="0042058C"/>
    <w:rPr>
      <w:rFonts w:ascii="Times New Roman" w:eastAsia="Times New Roman" w:hAnsi="Times New Roman" w:cs="Times New Roman"/>
      <w:b/>
      <w:sz w:val="24"/>
      <w:szCs w:val="24"/>
      <w:lang w:eastAsia="ru-RU"/>
    </w:rPr>
  </w:style>
  <w:style w:type="character" w:customStyle="1" w:styleId="11f">
    <w:name w:val="Маркированный_1 Знак1"/>
    <w:rsid w:val="0042058C"/>
  </w:style>
  <w:style w:type="character" w:customStyle="1" w:styleId="S31">
    <w:name w:val="S_Заголовок 3 Знак"/>
    <w:link w:val="S30"/>
    <w:rsid w:val="0042058C"/>
    <w:rPr>
      <w:rFonts w:ascii="Times New Roman" w:eastAsia="Times New Roman" w:hAnsi="Times New Roman" w:cs="Times New Roman"/>
      <w:sz w:val="24"/>
      <w:szCs w:val="24"/>
      <w:u w:val="single"/>
      <w:lang w:eastAsia="ru-RU"/>
    </w:rPr>
  </w:style>
  <w:style w:type="paragraph" w:customStyle="1" w:styleId="S0">
    <w:name w:val="S_Таблица"/>
    <w:basedOn w:val="a7"/>
    <w:rsid w:val="0042058C"/>
    <w:pPr>
      <w:numPr>
        <w:numId w:val="70"/>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42058C"/>
    <w:pPr>
      <w:spacing w:after="0" w:line="240" w:lineRule="auto"/>
    </w:pPr>
    <w:rPr>
      <w:rFonts w:ascii="Courier New" w:eastAsia="Times New Roman" w:hAnsi="Courier New" w:cs="Courier New"/>
      <w:sz w:val="20"/>
      <w:szCs w:val="20"/>
      <w:lang w:eastAsia="ru-RU"/>
    </w:rPr>
  </w:style>
  <w:style w:type="paragraph" w:customStyle="1" w:styleId="affffffffffffff2">
    <w:name w:val="В таблице"/>
    <w:basedOn w:val="a7"/>
    <w:rsid w:val="0042058C"/>
    <w:pPr>
      <w:spacing w:after="0" w:line="360" w:lineRule="auto"/>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7"/>
    <w:link w:val="Sf2"/>
    <w:rsid w:val="0042058C"/>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42058C"/>
    <w:rPr>
      <w:rFonts w:ascii="Times New Roman" w:eastAsia="Times New Roman" w:hAnsi="Times New Roman" w:cs="Times New Roman"/>
      <w:sz w:val="24"/>
      <w:szCs w:val="24"/>
      <w:u w:val="single"/>
      <w:lang w:eastAsia="ru-RU"/>
    </w:rPr>
  </w:style>
  <w:style w:type="character" w:customStyle="1" w:styleId="1fffff4">
    <w:name w:val="Текст макроса Знак1"/>
    <w:uiPriority w:val="99"/>
    <w:rsid w:val="0042058C"/>
    <w:rPr>
      <w:rFonts w:ascii="Consolas" w:hAnsi="Consolas" w:cs="Consolas"/>
      <w:sz w:val="20"/>
      <w:szCs w:val="20"/>
    </w:rPr>
  </w:style>
  <w:style w:type="character" w:customStyle="1" w:styleId="Bodytext9">
    <w:name w:val="Body text (9)_"/>
    <w:link w:val="Bodytext90"/>
    <w:locked/>
    <w:rsid w:val="0042058C"/>
    <w:rPr>
      <w:sz w:val="24"/>
      <w:szCs w:val="24"/>
      <w:shd w:val="clear" w:color="auto" w:fill="FFFFFF"/>
    </w:rPr>
  </w:style>
  <w:style w:type="paragraph" w:customStyle="1" w:styleId="Bodytext90">
    <w:name w:val="Body text (9)"/>
    <w:basedOn w:val="a7"/>
    <w:link w:val="Bodytext9"/>
    <w:rsid w:val="0042058C"/>
    <w:pPr>
      <w:shd w:val="clear" w:color="auto" w:fill="FFFFFF"/>
      <w:spacing w:after="0" w:line="274" w:lineRule="exact"/>
      <w:jc w:val="both"/>
    </w:pPr>
    <w:rPr>
      <w:sz w:val="24"/>
      <w:szCs w:val="24"/>
    </w:rPr>
  </w:style>
  <w:style w:type="character" w:customStyle="1" w:styleId="Bodytext0">
    <w:name w:val="Body text_"/>
    <w:link w:val="2ffa"/>
    <w:locked/>
    <w:rsid w:val="0042058C"/>
    <w:rPr>
      <w:rFonts w:ascii="Calibri" w:eastAsia="Calibri" w:hAnsi="Calibri" w:cs="Times New Roman"/>
      <w:spacing w:val="9"/>
      <w:shd w:val="clear" w:color="auto" w:fill="FFFFFF"/>
    </w:rPr>
  </w:style>
  <w:style w:type="character" w:customStyle="1" w:styleId="Bodytext13">
    <w:name w:val="Body text (13)_"/>
    <w:link w:val="Bodytext130"/>
    <w:locked/>
    <w:rsid w:val="0042058C"/>
    <w:rPr>
      <w:rFonts w:ascii="Arial" w:eastAsia="Arial" w:hAnsi="Arial" w:cs="Arial"/>
      <w:sz w:val="18"/>
      <w:szCs w:val="18"/>
      <w:shd w:val="clear" w:color="auto" w:fill="FFFFFF"/>
    </w:rPr>
  </w:style>
  <w:style w:type="paragraph" w:customStyle="1" w:styleId="Bodytext130">
    <w:name w:val="Body text (13)"/>
    <w:basedOn w:val="a7"/>
    <w:link w:val="Bodytext13"/>
    <w:rsid w:val="0042058C"/>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7"/>
    <w:rsid w:val="0042058C"/>
    <w:pPr>
      <w:shd w:val="clear" w:color="auto" w:fill="FFFFFF"/>
      <w:spacing w:after="0" w:line="0" w:lineRule="atLeast"/>
    </w:pPr>
    <w:rPr>
      <w:rFonts w:ascii="Calibri" w:eastAsia="Calibri" w:hAnsi="Calibri" w:cs="Times New Roman"/>
      <w:sz w:val="13"/>
      <w:szCs w:val="13"/>
    </w:rPr>
  </w:style>
  <w:style w:type="character" w:customStyle="1" w:styleId="Bodytext12">
    <w:name w:val="Body text (12)_"/>
    <w:link w:val="Bodytext120"/>
    <w:locked/>
    <w:rsid w:val="0042058C"/>
    <w:rPr>
      <w:rFonts w:ascii="Arial Narrow" w:eastAsia="Arial Narrow" w:hAnsi="Arial Narrow" w:cs="Arial Narrow"/>
      <w:sz w:val="14"/>
      <w:szCs w:val="14"/>
      <w:shd w:val="clear" w:color="auto" w:fill="FFFFFF"/>
    </w:rPr>
  </w:style>
  <w:style w:type="paragraph" w:customStyle="1" w:styleId="Bodytext120">
    <w:name w:val="Body text (12)"/>
    <w:basedOn w:val="a7"/>
    <w:link w:val="Bodytext12"/>
    <w:rsid w:val="0042058C"/>
    <w:pPr>
      <w:shd w:val="clear" w:color="auto" w:fill="FFFFFF"/>
      <w:spacing w:after="0" w:line="0" w:lineRule="atLeast"/>
    </w:pPr>
    <w:rPr>
      <w:rFonts w:ascii="Arial Narrow" w:eastAsia="Arial Narrow" w:hAnsi="Arial Narrow" w:cs="Arial Narrow"/>
      <w:sz w:val="14"/>
      <w:szCs w:val="14"/>
    </w:rPr>
  </w:style>
  <w:style w:type="character" w:customStyle="1" w:styleId="223">
    <w:name w:val="Заголовок 2 Знак2"/>
    <w:uiPriority w:val="9"/>
    <w:semiHidden/>
    <w:rsid w:val="0042058C"/>
    <w:rPr>
      <w:rFonts w:ascii="Cambria" w:eastAsia="Times New Roman" w:hAnsi="Cambria" w:cs="Times New Roman"/>
      <w:color w:val="365F91"/>
      <w:sz w:val="26"/>
      <w:szCs w:val="26"/>
      <w:lang w:eastAsia="ru-RU"/>
    </w:rPr>
  </w:style>
  <w:style w:type="character" w:customStyle="1" w:styleId="31b">
    <w:name w:val="Заголовок 3 Знак1"/>
    <w:uiPriority w:val="9"/>
    <w:semiHidden/>
    <w:rsid w:val="0042058C"/>
    <w:rPr>
      <w:rFonts w:ascii="Cambria" w:eastAsia="Times New Roman" w:hAnsi="Cambria" w:cs="Times New Roman"/>
      <w:color w:val="243F60"/>
      <w:sz w:val="24"/>
      <w:szCs w:val="24"/>
      <w:lang w:eastAsia="ru-RU"/>
    </w:rPr>
  </w:style>
  <w:style w:type="paragraph" w:customStyle="1" w:styleId="affffffffffffff3">
    <w:name w:val="_абзац"/>
    <w:basedOn w:val="a7"/>
    <w:link w:val="affffffffffffff4"/>
    <w:qFormat/>
    <w:rsid w:val="0042058C"/>
    <w:pPr>
      <w:spacing w:after="0"/>
      <w:ind w:firstLine="709"/>
      <w:jc w:val="both"/>
    </w:pPr>
    <w:rPr>
      <w:rFonts w:ascii="Times New Roman" w:eastAsia="Times New Roman" w:hAnsi="Times New Roman" w:cs="Times New Roman"/>
      <w:sz w:val="24"/>
      <w:szCs w:val="24"/>
      <w:lang w:eastAsia="ru-RU"/>
    </w:rPr>
  </w:style>
  <w:style w:type="character" w:customStyle="1" w:styleId="affffffffffffff4">
    <w:name w:val="_абзац Знак"/>
    <w:link w:val="affffffffffffff3"/>
    <w:rsid w:val="0042058C"/>
    <w:rPr>
      <w:rFonts w:ascii="Times New Roman" w:eastAsia="Times New Roman" w:hAnsi="Times New Roman" w:cs="Times New Roman"/>
      <w:sz w:val="24"/>
      <w:szCs w:val="24"/>
      <w:lang w:eastAsia="ru-RU"/>
    </w:rPr>
  </w:style>
  <w:style w:type="numbering" w:customStyle="1" w:styleId="107">
    <w:name w:val="Нет списка10"/>
    <w:next w:val="aa"/>
    <w:uiPriority w:val="99"/>
    <w:semiHidden/>
    <w:unhideWhenUsed/>
    <w:rsid w:val="0042058C"/>
  </w:style>
  <w:style w:type="character" w:customStyle="1" w:styleId="FontStyle22">
    <w:name w:val="Font Style22"/>
    <w:rsid w:val="0042058C"/>
    <w:rPr>
      <w:rFonts w:ascii="Times New Roman" w:hAnsi="Times New Roman" w:cs="Times New Roman" w:hint="default"/>
      <w:b/>
      <w:bCs/>
      <w:sz w:val="24"/>
      <w:szCs w:val="24"/>
    </w:rPr>
  </w:style>
  <w:style w:type="character" w:customStyle="1" w:styleId="translation-chunk">
    <w:name w:val="translation-chunk"/>
    <w:rsid w:val="0042058C"/>
  </w:style>
  <w:style w:type="paragraph" w:customStyle="1" w:styleId="announcement">
    <w:name w:val="announcement"/>
    <w:basedOn w:val="a7"/>
    <w:rsid w:val="0042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rsid w:val="0042058C"/>
  </w:style>
  <w:style w:type="paragraph" w:customStyle="1" w:styleId="2ffd">
    <w:name w:val="Абзац списка2"/>
    <w:basedOn w:val="a7"/>
    <w:rsid w:val="0042058C"/>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rsid w:val="0042058C"/>
  </w:style>
  <w:style w:type="numbering" w:customStyle="1" w:styleId="11111153">
    <w:name w:val="1 / 1.1 / 1.1.153"/>
    <w:basedOn w:val="aa"/>
    <w:next w:val="1111110"/>
    <w:rsid w:val="0042058C"/>
  </w:style>
  <w:style w:type="numbering" w:customStyle="1" w:styleId="1ai11">
    <w:name w:val="1 / a / i11"/>
    <w:basedOn w:val="aa"/>
    <w:next w:val="1ai"/>
    <w:rsid w:val="0042058C"/>
    <w:pPr>
      <w:numPr>
        <w:numId w:val="71"/>
      </w:numPr>
    </w:pPr>
  </w:style>
  <w:style w:type="numbering" w:customStyle="1" w:styleId="11111111">
    <w:name w:val="1 / 1.1 / 1.1.111"/>
    <w:basedOn w:val="aa"/>
    <w:next w:val="1111110"/>
    <w:rsid w:val="0042058C"/>
  </w:style>
  <w:style w:type="character" w:customStyle="1" w:styleId="FontStyle18">
    <w:name w:val="Font Style18"/>
    <w:rsid w:val="0042058C"/>
    <w:rPr>
      <w:rFonts w:ascii="Times New Roman" w:hAnsi="Times New Roman" w:cs="Times New Roman" w:hint="default"/>
      <w:b/>
      <w:bCs/>
      <w:sz w:val="26"/>
      <w:szCs w:val="26"/>
    </w:rPr>
  </w:style>
  <w:style w:type="paragraph" w:customStyle="1" w:styleId="FR3">
    <w:name w:val="FR3"/>
    <w:rsid w:val="0042058C"/>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fffff5">
    <w:name w:val="Знак Знак1 Знак Знак Знак Знак Знак Знак Знак"/>
    <w:basedOn w:val="a7"/>
    <w:rsid w:val="0042058C"/>
    <w:pPr>
      <w:spacing w:after="160" w:line="240" w:lineRule="exact"/>
    </w:pPr>
    <w:rPr>
      <w:rFonts w:ascii="Verdana" w:eastAsia="Times New Roman" w:hAnsi="Verdana" w:cs="Times New Roman"/>
      <w:sz w:val="24"/>
      <w:szCs w:val="24"/>
      <w:lang w:val="en-US"/>
    </w:rPr>
  </w:style>
  <w:style w:type="paragraph" w:customStyle="1" w:styleId="Sf3">
    <w:name w:val="S_Обычный Знак Знак"/>
    <w:basedOn w:val="a7"/>
    <w:link w:val="Sf4"/>
    <w:locked/>
    <w:rsid w:val="0042058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4">
    <w:name w:val="S_Обычный Знак Знак Знак"/>
    <w:link w:val="Sf3"/>
    <w:rsid w:val="0042058C"/>
    <w:rPr>
      <w:rFonts w:ascii="Times New Roman" w:eastAsia="Times New Roman" w:hAnsi="Times New Roman" w:cs="Times New Roman"/>
      <w:sz w:val="24"/>
      <w:szCs w:val="24"/>
      <w:lang w:eastAsia="ru-RU"/>
    </w:rPr>
  </w:style>
  <w:style w:type="character" w:customStyle="1" w:styleId="Sf5">
    <w:name w:val="S_Заголовок таблицы Знак"/>
    <w:link w:val="Sf6"/>
    <w:rsid w:val="0042058C"/>
    <w:rPr>
      <w:sz w:val="24"/>
      <w:szCs w:val="24"/>
      <w:u w:val="single"/>
      <w:lang w:eastAsia="ar-SA"/>
    </w:rPr>
  </w:style>
  <w:style w:type="paragraph" w:customStyle="1" w:styleId="Sf6">
    <w:name w:val="S_Заголовок таблицы"/>
    <w:basedOn w:val="S2"/>
    <w:link w:val="Sf5"/>
    <w:rsid w:val="0042058C"/>
    <w:pPr>
      <w:spacing w:before="0" w:after="0" w:line="360" w:lineRule="auto"/>
      <w:ind w:firstLine="709"/>
      <w:jc w:val="center"/>
    </w:pPr>
    <w:rPr>
      <w:rFonts w:asciiTheme="minorHAnsi" w:eastAsiaTheme="minorHAnsi" w:hAnsiTheme="minorHAnsi" w:cstheme="minorBidi"/>
      <w:u w:val="single"/>
    </w:rPr>
  </w:style>
  <w:style w:type="paragraph" w:customStyle="1" w:styleId="S11">
    <w:name w:val="S_Таблица 1"/>
    <w:basedOn w:val="S2"/>
    <w:autoRedefine/>
    <w:rsid w:val="0042058C"/>
    <w:pPr>
      <w:spacing w:before="0" w:after="0" w:line="360" w:lineRule="auto"/>
      <w:ind w:left="2325" w:hanging="1605"/>
      <w:jc w:val="right"/>
    </w:pPr>
    <w:rPr>
      <w:lang w:eastAsia="ru-RU"/>
    </w:rPr>
  </w:style>
  <w:style w:type="numbering" w:customStyle="1" w:styleId="11111117">
    <w:name w:val="1 / 1.1 / 1.1.117"/>
    <w:basedOn w:val="aa"/>
    <w:next w:val="1111110"/>
    <w:rsid w:val="0042058C"/>
  </w:style>
  <w:style w:type="character" w:customStyle="1" w:styleId="fontstyle14">
    <w:name w:val="fontstyle14"/>
    <w:rsid w:val="0042058C"/>
  </w:style>
  <w:style w:type="numbering" w:customStyle="1" w:styleId="1ai111">
    <w:name w:val="1 / a / i111"/>
    <w:basedOn w:val="aa"/>
    <w:next w:val="1ai"/>
    <w:rsid w:val="0042058C"/>
  </w:style>
  <w:style w:type="numbering" w:customStyle="1" w:styleId="1ai112">
    <w:name w:val="1 / a / i112"/>
    <w:basedOn w:val="aa"/>
    <w:next w:val="1ai"/>
    <w:rsid w:val="0042058C"/>
  </w:style>
  <w:style w:type="character" w:customStyle="1" w:styleId="affffffffffffff5">
    <w:name w:val="Текст_Жирный"/>
    <w:uiPriority w:val="1"/>
    <w:qFormat/>
    <w:rsid w:val="0042058C"/>
    <w:rPr>
      <w:rFonts w:ascii="Times New Roman" w:hAnsi="Times New Roman"/>
      <w:b/>
    </w:rPr>
  </w:style>
  <w:style w:type="paragraph" w:customStyle="1" w:styleId="11f0">
    <w:name w:val="Табличный_таблица_11"/>
    <w:link w:val="11f1"/>
    <w:qFormat/>
    <w:rsid w:val="0042058C"/>
    <w:pPr>
      <w:spacing w:after="0" w:line="240" w:lineRule="auto"/>
      <w:jc w:val="center"/>
    </w:pPr>
    <w:rPr>
      <w:rFonts w:ascii="Times New Roman" w:eastAsia="Times New Roman" w:hAnsi="Times New Roman" w:cs="Times New Roman"/>
      <w:lang w:eastAsia="ru-RU"/>
    </w:rPr>
  </w:style>
  <w:style w:type="character" w:customStyle="1" w:styleId="11f1">
    <w:name w:val="Табличный_таблица_11 Знак"/>
    <w:link w:val="11f0"/>
    <w:rsid w:val="0042058C"/>
    <w:rPr>
      <w:rFonts w:ascii="Times New Roman" w:eastAsia="Times New Roman" w:hAnsi="Times New Roman" w:cs="Times New Roman"/>
      <w:lang w:eastAsia="ru-RU"/>
    </w:rPr>
  </w:style>
  <w:style w:type="character" w:customStyle="1" w:styleId="short">
    <w:name w:val="short"/>
    <w:rsid w:val="0042058C"/>
  </w:style>
  <w:style w:type="paragraph" w:customStyle="1" w:styleId="affffffffffffff6">
    <w:name w:val="МГП Обычный"/>
    <w:basedOn w:val="a7"/>
    <w:link w:val="affffffffffffff7"/>
    <w:qFormat/>
    <w:rsid w:val="0042058C"/>
    <w:pPr>
      <w:spacing w:after="0"/>
      <w:ind w:firstLine="709"/>
      <w:jc w:val="both"/>
    </w:pPr>
    <w:rPr>
      <w:rFonts w:ascii="Times New Roman" w:eastAsia="Calibri" w:hAnsi="Times New Roman" w:cs="Times New Roman"/>
      <w:sz w:val="28"/>
    </w:rPr>
  </w:style>
  <w:style w:type="character" w:customStyle="1" w:styleId="affffffffffffff7">
    <w:name w:val="МГП Обычный Знак"/>
    <w:link w:val="affffffffffffff6"/>
    <w:rsid w:val="0042058C"/>
    <w:rPr>
      <w:rFonts w:ascii="Times New Roman" w:eastAsia="Calibri" w:hAnsi="Times New Roman" w:cs="Times New Roman"/>
      <w:sz w:val="28"/>
    </w:rPr>
  </w:style>
  <w:style w:type="paragraph" w:customStyle="1" w:styleId="000">
    <w:name w:val="0.0 Текст"/>
    <w:basedOn w:val="a7"/>
    <w:link w:val="001"/>
    <w:qFormat/>
    <w:rsid w:val="0042058C"/>
    <w:pPr>
      <w:snapToGrid w:val="0"/>
      <w:spacing w:before="40" w:after="240" w:line="240" w:lineRule="auto"/>
      <w:ind w:firstLine="709"/>
      <w:contextualSpacing/>
      <w:jc w:val="both"/>
    </w:pPr>
    <w:rPr>
      <w:rFonts w:ascii="Times New Roman" w:eastAsia="MS Mincho" w:hAnsi="Times New Roman" w:cs="Times New Roman"/>
      <w:sz w:val="26"/>
    </w:rPr>
  </w:style>
  <w:style w:type="character" w:customStyle="1" w:styleId="001">
    <w:name w:val="0.0 Текст Знак"/>
    <w:link w:val="000"/>
    <w:rsid w:val="0042058C"/>
    <w:rPr>
      <w:rFonts w:ascii="Times New Roman" w:eastAsia="MS Mincho" w:hAnsi="Times New Roman" w:cs="Times New Roman"/>
      <w:sz w:val="26"/>
    </w:rPr>
  </w:style>
  <w:style w:type="character" w:customStyle="1" w:styleId="WW8Num16z0">
    <w:name w:val="WW8Num16z0"/>
    <w:rsid w:val="0042058C"/>
  </w:style>
  <w:style w:type="paragraph" w:customStyle="1" w:styleId="3fc">
    <w:name w:val="Абзац списка3"/>
    <w:basedOn w:val="a7"/>
    <w:rsid w:val="0042058C"/>
    <w:pPr>
      <w:spacing w:after="0" w:line="240" w:lineRule="auto"/>
      <w:ind w:left="720"/>
      <w:contextualSpacing/>
    </w:pPr>
    <w:rPr>
      <w:rFonts w:ascii="Times New Roman" w:eastAsia="Calibri" w:hAnsi="Times New Roman" w:cs="Times New Roman"/>
      <w:sz w:val="24"/>
      <w:szCs w:val="24"/>
      <w:lang w:eastAsia="ru-RU"/>
    </w:rPr>
  </w:style>
  <w:style w:type="paragraph" w:customStyle="1" w:styleId="21f2">
    <w:name w:val="Основной текст с отступом 21"/>
    <w:basedOn w:val="a7"/>
    <w:uiPriority w:val="99"/>
    <w:rsid w:val="0042058C"/>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lang w:eastAsia="ru-RU"/>
    </w:rPr>
  </w:style>
  <w:style w:type="paragraph" w:customStyle="1" w:styleId="Pa2">
    <w:name w:val="Pa2"/>
    <w:basedOn w:val="a7"/>
    <w:next w:val="a7"/>
    <w:uiPriority w:val="99"/>
    <w:rsid w:val="0042058C"/>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Pa3">
    <w:name w:val="Pa3"/>
    <w:basedOn w:val="a7"/>
    <w:next w:val="a7"/>
    <w:uiPriority w:val="99"/>
    <w:rsid w:val="0042058C"/>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11f2">
    <w:name w:val="Табличный_боковик_11"/>
    <w:link w:val="11f3"/>
    <w:qFormat/>
    <w:rsid w:val="0042058C"/>
    <w:pPr>
      <w:spacing w:after="0" w:line="240" w:lineRule="auto"/>
    </w:pPr>
    <w:rPr>
      <w:rFonts w:ascii="Times New Roman" w:eastAsia="Times New Roman" w:hAnsi="Times New Roman" w:cs="Times New Roman"/>
      <w:szCs w:val="24"/>
      <w:lang w:eastAsia="ru-RU"/>
    </w:rPr>
  </w:style>
  <w:style w:type="character" w:customStyle="1" w:styleId="11f3">
    <w:name w:val="Табличный_боковик_11 Знак"/>
    <w:link w:val="11f2"/>
    <w:rsid w:val="0042058C"/>
    <w:rPr>
      <w:rFonts w:ascii="Times New Roman" w:eastAsia="Times New Roman" w:hAnsi="Times New Roman" w:cs="Times New Roman"/>
      <w:szCs w:val="24"/>
      <w:lang w:eastAsia="ru-RU"/>
    </w:rPr>
  </w:style>
  <w:style w:type="paragraph" w:customStyle="1" w:styleId="affffffffffffff8">
    <w:name w:val="! Основной текст"/>
    <w:basedOn w:val="a7"/>
    <w:link w:val="affffffffffffff9"/>
    <w:qFormat/>
    <w:rsid w:val="0042058C"/>
    <w:pPr>
      <w:spacing w:after="0" w:line="360" w:lineRule="auto"/>
      <w:ind w:firstLine="709"/>
      <w:jc w:val="both"/>
    </w:pPr>
    <w:rPr>
      <w:rFonts w:ascii="Times New Roman" w:eastAsia="Times New Roman" w:hAnsi="Times New Roman" w:cs="Times New Roman"/>
      <w:sz w:val="28"/>
      <w:szCs w:val="28"/>
    </w:rPr>
  </w:style>
  <w:style w:type="character" w:customStyle="1" w:styleId="affffffffffffff9">
    <w:name w:val="! Основной текст Знак"/>
    <w:link w:val="affffffffffffff8"/>
    <w:rsid w:val="0042058C"/>
    <w:rPr>
      <w:rFonts w:ascii="Times New Roman" w:eastAsia="Times New Roman" w:hAnsi="Times New Roman" w:cs="Times New Roman"/>
      <w:sz w:val="28"/>
      <w:szCs w:val="28"/>
    </w:rPr>
  </w:style>
  <w:style w:type="paragraph" w:customStyle="1" w:styleId="affffffffffffffa">
    <w:name w:val="!ГССО Текст"/>
    <w:basedOn w:val="affffffffffffff8"/>
    <w:next w:val="ab"/>
    <w:link w:val="affffffffffffffb"/>
    <w:qFormat/>
    <w:rsid w:val="0042058C"/>
  </w:style>
  <w:style w:type="character" w:customStyle="1" w:styleId="affffffffffffffb">
    <w:name w:val="!ГССО Текст Знак"/>
    <w:link w:val="affffffffffffffa"/>
    <w:rsid w:val="0042058C"/>
    <w:rPr>
      <w:rFonts w:ascii="Times New Roman" w:eastAsia="Times New Roman" w:hAnsi="Times New Roman" w:cs="Times New Roman"/>
      <w:sz w:val="28"/>
      <w:szCs w:val="28"/>
    </w:rPr>
  </w:style>
  <w:style w:type="character" w:customStyle="1" w:styleId="tm101">
    <w:name w:val="tm101"/>
    <w:rsid w:val="0042058C"/>
    <w:rPr>
      <w:rFonts w:ascii="Arial" w:hAnsi="Arial" w:cs="Arial" w:hint="default"/>
      <w:sz w:val="24"/>
      <w:szCs w:val="24"/>
    </w:rPr>
  </w:style>
  <w:style w:type="character" w:customStyle="1" w:styleId="tm221">
    <w:name w:val="tm221"/>
    <w:rsid w:val="0042058C"/>
    <w:rPr>
      <w:rFonts w:ascii="Arial" w:hAnsi="Arial" w:cs="Arial" w:hint="default"/>
      <w:b/>
      <w:bCs/>
      <w:sz w:val="24"/>
      <w:szCs w:val="24"/>
    </w:rPr>
  </w:style>
  <w:style w:type="character" w:customStyle="1" w:styleId="tm241">
    <w:name w:val="tm241"/>
    <w:rsid w:val="0042058C"/>
    <w:rPr>
      <w:rFonts w:ascii="Wingdings" w:hAnsi="Wingdings" w:hint="default"/>
      <w:sz w:val="24"/>
      <w:szCs w:val="24"/>
    </w:rPr>
  </w:style>
  <w:style w:type="character" w:customStyle="1" w:styleId="tm131">
    <w:name w:val="tm131"/>
    <w:rsid w:val="0042058C"/>
    <w:rPr>
      <w:rFonts w:ascii="Arial" w:hAnsi="Arial" w:cs="Arial" w:hint="default"/>
    </w:rPr>
  </w:style>
  <w:style w:type="character" w:customStyle="1" w:styleId="tm141">
    <w:name w:val="tm141"/>
    <w:rsid w:val="0042058C"/>
    <w:rPr>
      <w:rFonts w:ascii="Arial" w:hAnsi="Arial" w:cs="Arial" w:hint="default"/>
      <w:shd w:val="clear" w:color="auto" w:fill="FFFFFF"/>
    </w:rPr>
  </w:style>
  <w:style w:type="numbering" w:customStyle="1" w:styleId="200">
    <w:name w:val="Нет списка20"/>
    <w:next w:val="aa"/>
    <w:uiPriority w:val="99"/>
    <w:semiHidden/>
    <w:unhideWhenUsed/>
    <w:rsid w:val="00420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9.jpeg"/><Relationship Id="rId47" Type="http://schemas.openxmlformats.org/officeDocument/2006/relationships/hyperlink" Target="http://base.consultant.ru/cons/cgi/online.cgi?req=doc;base=LAW;n=151211;fld=134;dst=1000000001,0;rnd=0.1225387891754508" TargetMode="External"/><Relationship Id="rId50" Type="http://schemas.openxmlformats.org/officeDocument/2006/relationships/hyperlink" Target="https://yandex.ru/profile/120866986298" TargetMode="External"/><Relationship Id="rId55" Type="http://schemas.openxmlformats.org/officeDocument/2006/relationships/hyperlink" Target="https://base.garant.ru/12121252/947e56d01de81cdca234a7114196436f/"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8.png"/><Relationship Id="rId54" Type="http://schemas.openxmlformats.org/officeDocument/2006/relationships/hyperlink" Target="http://stavinvest.ru/uploads/O%20real%20Reg%20program/2019/2019-2024/626-%D0%BF%20%D1%8D%D0%BA%D0%BE%D0%BD%D0%BE%D0%BC%D0%B8%D0%BA%D0%B0.docx"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image" Target="media/image12.png"/><Relationship Id="rId53" Type="http://schemas.openxmlformats.org/officeDocument/2006/relationships/hyperlink" Target="http://stavinvest.ru/uploads/2019upload/271119/10.docx" TargetMode="External"/><Relationship Id="rId58" Type="http://schemas.openxmlformats.org/officeDocument/2006/relationships/hyperlink" Target="http://base.consultant.ru/cons/cgi/online.cgi?req=doc;base=LAW;n=151211;fld=134;dst=1000000001,0;rnd=0.1225387891754508"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7.jpeg"/><Relationship Id="rId49" Type="http://schemas.openxmlformats.org/officeDocument/2006/relationships/hyperlink" Target="https://ru.wikipedia.org/wiki/%D0%90%D1%82%D0%BC%D0%BE%D1%81%D1%84%D0%B5%D1%80%D0%BD%D1%8B%D0%B5_%D0%BE%D1%81%D0%B0%D0%B4%D0%BA%D0%B8" TargetMode="External"/><Relationship Id="rId57" Type="http://schemas.openxmlformats.org/officeDocument/2006/relationships/hyperlink" Target="https://base.garant.ru/12121252/947e56d01de81cdca234a7114196436f/" TargetMode="External"/><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1.jpeg"/><Relationship Id="rId52" Type="http://schemas.openxmlformats.org/officeDocument/2006/relationships/hyperlink" Target="http://stavinvest.ru/uploads/O%20real%20Reg%20program/2019/2019-2024/620-%D0%BF%20%D1%81.%D1%85.docx"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10.png"/><Relationship Id="rId48" Type="http://schemas.openxmlformats.org/officeDocument/2006/relationships/chart" Target="charts/chart28.xml"/><Relationship Id="rId56" Type="http://schemas.openxmlformats.org/officeDocument/2006/relationships/hyperlink" Target="https://base.garant.ru/12121252/947e56d01de81cdca234a7114196436f/" TargetMode="External"/><Relationship Id="rId8" Type="http://schemas.openxmlformats.org/officeDocument/2006/relationships/image" Target="media/image2.png"/><Relationship Id="rId51" Type="http://schemas.openxmlformats.org/officeDocument/2006/relationships/hyperlink" Target="https://yandex.ru/profile/1060103923"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image" Target="media/image13.pn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docs.cntd.ru/document/420341376" TargetMode="External"/><Relationship Id="rId1" Type="http://schemas.openxmlformats.org/officeDocument/2006/relationships/hyperlink" Target="https://rosstat.gov.ru/emis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3-&#1053;&#1048;&#1056;\2021\&#1050;&#1086;&#1095;&#1091;&#1073;&#1077;&#1077;&#1074;&#1089;&#1082;&#1080;&#1081;%20&#1088;&#1072;&#1081;&#1086;&#1085;\&#1050;&#1086;&#1095;&#1091;&#1073;&#1077;&#1077;&#1074;&#1082;&#1072;%20&#1075;&#1088;&#1072;&#1092;&#1080;&#1082;&#108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_&#1056;&#1072;&#1073;&#1086;&#1095;&#1080;&#1081;_&#1089;&#1090;&#1086;&#1083;_&#1050;&#1088;&#1080;&#1089;&#1090;&#1080;&#1085;&#1072;\&#1050;&#1088;&#1080;&#1089;&#1090;&#1080;&#1085;&#1072;_&#1087;&#1088;&#1086;&#1077;&#1082;&#1090;&#1099;\&#1058;&#1088;&#1091;&#1085;&#1086;&#1074;&#1089;&#1082;&#1080;&#1081;%20&#1052;&#1054;\&#1043;&#1055;%202021\&#1056;&#1072;&#1089;&#1095;&#1077;&#1090;&#1099;%20&#1087;&#1086;%20&#1089;&#1086;&#1094;&#1080;&#1072;&#1083;&#1082;&#1077;,%20&#1078;&#1080;&#1083;&#1100;&#1102;.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E:\&#1043;&#1077;&#1085;&#1077;&#1088;&#1072;&#1083;&#1100;&#1085;&#1099;&#1081;%20&#1087;&#1083;&#1072;&#1085;\&#1058;&#1088;&#1091;&#1085;&#1086;&#1074;&#1089;&#1082;&#1080;&#1081;%20&#1075;&#1088;&#1072;&#1092;&#1080;&#1082;&#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43;&#1077;&#1085;&#1077;&#1088;&#1072;&#1083;&#1100;&#1085;&#1099;&#1081;%20&#1087;&#1083;&#1072;&#1085;\&#1058;&#1088;&#1091;&#1085;&#1086;&#1074;&#1089;&#1082;&#1080;&#1081;%20&#1075;&#1088;&#1072;&#1092;&#1080;&#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43;&#1077;&#1085;&#1077;&#1088;&#1072;&#1083;&#1100;&#1085;&#1099;&#1081;%20&#1087;&#1083;&#1072;&#1085;\&#1058;&#1088;&#1091;&#1085;&#1086;&#1074;&#1089;&#1082;&#1080;&#1081;%20&#1075;&#1088;&#1072;&#1092;&#1080;&#1082;&#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1043;&#1077;&#1085;&#1077;&#1088;&#1072;&#1083;&#1100;&#1085;&#1099;&#1081;%20&#1087;&#1083;&#1072;&#1085;\&#1058;&#1088;&#1091;&#1085;&#1086;&#1074;&#1089;&#1082;&#1080;&#1081;%20&#1075;&#1088;&#1072;&#1092;&#1080;&#1082;&#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3-&#1053;&#1048;&#1056;\2021\&#1050;&#1086;&#1095;&#1091;&#1073;&#1077;&#1077;&#1074;&#1089;&#1082;&#1080;&#1081;%20&#1088;&#1072;&#1081;&#1086;&#1085;\&#1050;&#1086;&#1095;&#1091;&#1073;&#1077;&#1077;&#1074;&#1082;&#1072;%20&#1075;&#1088;&#1072;&#1092;&#1080;&#1082;&#108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3-&#1053;&#1048;&#1056;\2021\&#1050;&#1086;&#1095;&#1091;&#1073;&#1077;&#1077;&#1074;&#1089;&#1082;&#1080;&#1081;%20&#1088;&#1072;&#1081;&#1086;&#1085;\&#1050;&#1086;&#1095;&#1091;&#1073;&#1077;&#1077;&#1074;&#1082;&#1072;%20&#1075;&#1088;&#1072;&#1092;&#1080;&#1082;&#108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'Место Округа'!$B$18</c:f>
              <c:strCache>
                <c:ptCount val="1"/>
                <c:pt idx="0">
                  <c:v>2018 г.</c:v>
                </c:pt>
              </c:strCache>
            </c:strRef>
          </c:tx>
          <c:spPr>
            <a:solidFill>
              <a:schemeClr val="accent1"/>
            </a:solidFill>
            <a:ln>
              <a:noFill/>
            </a:ln>
            <a:effectLst/>
          </c:spPr>
          <c:invertIfNegative val="0"/>
          <c:cat>
            <c:strRef>
              <c:f>'Место Округа'!$A$19:$A$31</c:f>
              <c:strCache>
                <c:ptCount val="13"/>
                <c:pt idx="0">
                  <c:v>Площадь</c:v>
                </c:pt>
                <c:pt idx="1">
                  <c:v>Население</c:v>
                </c:pt>
                <c:pt idx="2">
                  <c:v>Численность занятых в экономике</c:v>
                </c:pt>
                <c:pt idx="3">
                  <c:v>Обрабатывающая промышленность</c:v>
                </c:pt>
                <c:pt idx="4">
                  <c:v>Производство пищевых продуктов</c:v>
                </c:pt>
                <c:pt idx="5">
                  <c:v>Продукция сельского хозяйства</c:v>
                </c:pt>
                <c:pt idx="6">
                  <c:v>Продукция растениеводства</c:v>
                </c:pt>
                <c:pt idx="7">
                  <c:v>Продукция животноводства</c:v>
                </c:pt>
                <c:pt idx="8">
                  <c:v>Производство и распределение электроэнергии, газа и воды</c:v>
                </c:pt>
                <c:pt idx="9">
                  <c:v>Ввод жилья</c:v>
                </c:pt>
                <c:pt idx="10">
                  <c:v>Оборот розничной торговли</c:v>
                </c:pt>
                <c:pt idx="11">
                  <c:v>Платные услуги населению</c:v>
                </c:pt>
                <c:pt idx="12">
                  <c:v>Инвестиции в основной капитал</c:v>
                </c:pt>
              </c:strCache>
            </c:strRef>
          </c:cat>
          <c:val>
            <c:numRef>
              <c:f>'Место Округа'!$B$19:$B$31</c:f>
              <c:numCache>
                <c:formatCode>0.0</c:formatCode>
                <c:ptCount val="13"/>
                <c:pt idx="0">
                  <c:v>2.5483675937122126</c:v>
                </c:pt>
                <c:pt idx="1">
                  <c:v>1.1115841442472811</c:v>
                </c:pt>
                <c:pt idx="2">
                  <c:v>1.297063765101208</c:v>
                </c:pt>
                <c:pt idx="3">
                  <c:v>5.7066309444072337E-2</c:v>
                </c:pt>
                <c:pt idx="4">
                  <c:v>0.21737881737243517</c:v>
                </c:pt>
                <c:pt idx="5">
                  <c:v>3.1096477794793262</c:v>
                </c:pt>
                <c:pt idx="6">
                  <c:v>3.8744791666666667</c:v>
                </c:pt>
                <c:pt idx="7">
                  <c:v>1.4382113821138212</c:v>
                </c:pt>
                <c:pt idx="8">
                  <c:v>0.34722222222222227</c:v>
                </c:pt>
                <c:pt idx="9">
                  <c:v>0.12974375608173855</c:v>
                </c:pt>
                <c:pt idx="10">
                  <c:v>0.24945098039215688</c:v>
                </c:pt>
                <c:pt idx="11">
                  <c:v>0.33881909547738692</c:v>
                </c:pt>
                <c:pt idx="12">
                  <c:v>0.46877370417193426</c:v>
                </c:pt>
              </c:numCache>
            </c:numRef>
          </c:val>
          <c:extLst xmlns:c16r2="http://schemas.microsoft.com/office/drawing/2015/06/chart">
            <c:ext xmlns:c16="http://schemas.microsoft.com/office/drawing/2014/chart" uri="{C3380CC4-5D6E-409C-BE32-E72D297353CC}">
              <c16:uniqueId val="{00000000-5C64-4C28-8D6F-53A7F09FAB63}"/>
            </c:ext>
          </c:extLst>
        </c:ser>
        <c:ser>
          <c:idx val="1"/>
          <c:order val="1"/>
          <c:tx>
            <c:strRef>
              <c:f>'Место Округа'!$C$18</c:f>
              <c:strCache>
                <c:ptCount val="1"/>
                <c:pt idx="0">
                  <c:v>2019 г.</c:v>
                </c:pt>
              </c:strCache>
            </c:strRef>
          </c:tx>
          <c:spPr>
            <a:solidFill>
              <a:schemeClr val="accent2"/>
            </a:solidFill>
            <a:ln>
              <a:noFill/>
            </a:ln>
            <a:effectLst/>
          </c:spPr>
          <c:invertIfNegative val="0"/>
          <c:cat>
            <c:strRef>
              <c:f>'Место Округа'!$A$19:$A$31</c:f>
              <c:strCache>
                <c:ptCount val="13"/>
                <c:pt idx="0">
                  <c:v>Площадь</c:v>
                </c:pt>
                <c:pt idx="1">
                  <c:v>Население</c:v>
                </c:pt>
                <c:pt idx="2">
                  <c:v>Численность занятых в экономике</c:v>
                </c:pt>
                <c:pt idx="3">
                  <c:v>Обрабатывающая промышленность</c:v>
                </c:pt>
                <c:pt idx="4">
                  <c:v>Производство пищевых продуктов</c:v>
                </c:pt>
                <c:pt idx="5">
                  <c:v>Продукция сельского хозяйства</c:v>
                </c:pt>
                <c:pt idx="6">
                  <c:v>Продукция растениеводства</c:v>
                </c:pt>
                <c:pt idx="7">
                  <c:v>Продукция животноводства</c:v>
                </c:pt>
                <c:pt idx="8">
                  <c:v>Производство и распределение электроэнергии, газа и воды</c:v>
                </c:pt>
                <c:pt idx="9">
                  <c:v>Ввод жилья</c:v>
                </c:pt>
                <c:pt idx="10">
                  <c:v>Оборот розничной торговли</c:v>
                </c:pt>
                <c:pt idx="11">
                  <c:v>Платные услуги населению</c:v>
                </c:pt>
                <c:pt idx="12">
                  <c:v>Инвестиции в основной капитал</c:v>
                </c:pt>
              </c:strCache>
            </c:strRef>
          </c:cat>
          <c:val>
            <c:numRef>
              <c:f>'Место Округа'!$C$19:$C$31</c:f>
              <c:numCache>
                <c:formatCode>0.0</c:formatCode>
                <c:ptCount val="13"/>
                <c:pt idx="0">
                  <c:v>2.5483675937122126</c:v>
                </c:pt>
                <c:pt idx="1">
                  <c:v>1.0860679126836925</c:v>
                </c:pt>
                <c:pt idx="2">
                  <c:v>1.290060528830838</c:v>
                </c:pt>
                <c:pt idx="3">
                  <c:v>4.1396933560477002E-2</c:v>
                </c:pt>
                <c:pt idx="4">
                  <c:v>0.14394841116792834</c:v>
                </c:pt>
                <c:pt idx="5">
                  <c:v>3.2011505752876439</c:v>
                </c:pt>
                <c:pt idx="6">
                  <c:v>4.1105186267348426</c:v>
                </c:pt>
                <c:pt idx="7">
                  <c:v>1.225079365079365</c:v>
                </c:pt>
                <c:pt idx="8">
                  <c:v>0.34602076124567477</c:v>
                </c:pt>
                <c:pt idx="9">
                  <c:v>0.12017167381974249</c:v>
                </c:pt>
                <c:pt idx="10">
                  <c:v>0.26297539149888144</c:v>
                </c:pt>
                <c:pt idx="11">
                  <c:v>0.32651107121484141</c:v>
                </c:pt>
                <c:pt idx="12">
                  <c:v>0.27127777777777778</c:v>
                </c:pt>
              </c:numCache>
            </c:numRef>
          </c:val>
          <c:extLst xmlns:c16r2="http://schemas.microsoft.com/office/drawing/2015/06/chart">
            <c:ext xmlns:c16="http://schemas.microsoft.com/office/drawing/2014/chart" uri="{C3380CC4-5D6E-409C-BE32-E72D297353CC}">
              <c16:uniqueId val="{00000001-5C64-4C28-8D6F-53A7F09FAB63}"/>
            </c:ext>
          </c:extLst>
        </c:ser>
        <c:dLbls>
          <c:showLegendKey val="0"/>
          <c:showVal val="0"/>
          <c:showCatName val="0"/>
          <c:showSerName val="0"/>
          <c:showPercent val="0"/>
          <c:showBubbleSize val="0"/>
        </c:dLbls>
        <c:gapWidth val="182"/>
        <c:axId val="163126136"/>
        <c:axId val="163126528"/>
      </c:barChart>
      <c:catAx>
        <c:axId val="16312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26528"/>
        <c:crosses val="autoZero"/>
        <c:auto val="1"/>
        <c:lblAlgn val="ctr"/>
        <c:lblOffset val="100"/>
        <c:noMultiLvlLbl val="0"/>
      </c:catAx>
      <c:valAx>
        <c:axId val="1631265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26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Инвестиции!$A$5</c:f>
              <c:strCache>
                <c:ptCount val="1"/>
                <c:pt idx="0">
                  <c:v>государственная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Инвестиции!$B$5:$G$5</c:f>
              <c:numCache>
                <c:formatCode>General</c:formatCode>
                <c:ptCount val="6"/>
                <c:pt idx="0">
                  <c:v>264.89999999999998</c:v>
                </c:pt>
                <c:pt idx="1">
                  <c:v>211.2</c:v>
                </c:pt>
                <c:pt idx="2">
                  <c:v>359.9</c:v>
                </c:pt>
                <c:pt idx="3">
                  <c:v>264.5</c:v>
                </c:pt>
                <c:pt idx="4">
                  <c:v>129.19999999999999</c:v>
                </c:pt>
                <c:pt idx="5">
                  <c:v>66.599999999999994</c:v>
                </c:pt>
              </c:numCache>
            </c:numRef>
          </c:val>
          <c:extLst xmlns:c16r2="http://schemas.microsoft.com/office/drawing/2015/06/chart">
            <c:ext xmlns:c16="http://schemas.microsoft.com/office/drawing/2014/chart" uri="{C3380CC4-5D6E-409C-BE32-E72D297353CC}">
              <c16:uniqueId val="{00000000-CB13-4BFB-9A58-1FC7FC85F2B1}"/>
            </c:ext>
          </c:extLst>
        </c:ser>
        <c:ser>
          <c:idx val="2"/>
          <c:order val="1"/>
          <c:tx>
            <c:strRef>
              <c:f>Инвестиции!$A$6</c:f>
              <c:strCache>
                <c:ptCount val="1"/>
                <c:pt idx="0">
                  <c:v>муниципальная</c:v>
                </c:pt>
              </c:strCache>
            </c:strRef>
          </c:tx>
          <c:spPr>
            <a:solidFill>
              <a:schemeClr val="accent3"/>
            </a:solidFill>
            <a:ln>
              <a:noFill/>
            </a:ln>
            <a:effectLst/>
          </c:spPr>
          <c:invertIfNegative val="0"/>
          <c:val>
            <c:numRef>
              <c:f>Инвестиции!$B$6:$G$6</c:f>
              <c:numCache>
                <c:formatCode>General</c:formatCode>
                <c:ptCount val="6"/>
                <c:pt idx="0">
                  <c:v>40.9</c:v>
                </c:pt>
                <c:pt idx="1">
                  <c:v>95.1</c:v>
                </c:pt>
                <c:pt idx="2">
                  <c:v>1.5</c:v>
                </c:pt>
                <c:pt idx="3">
                  <c:v>66.8</c:v>
                </c:pt>
                <c:pt idx="4">
                  <c:v>15</c:v>
                </c:pt>
                <c:pt idx="5">
                  <c:v>17.7</c:v>
                </c:pt>
              </c:numCache>
            </c:numRef>
          </c:val>
          <c:extLst xmlns:c16r2="http://schemas.microsoft.com/office/drawing/2015/06/chart">
            <c:ext xmlns:c16="http://schemas.microsoft.com/office/drawing/2014/chart" uri="{C3380CC4-5D6E-409C-BE32-E72D297353CC}">
              <c16:uniqueId val="{00000001-CB13-4BFB-9A58-1FC7FC85F2B1}"/>
            </c:ext>
          </c:extLst>
        </c:ser>
        <c:ser>
          <c:idx val="1"/>
          <c:order val="2"/>
          <c:tx>
            <c:strRef>
              <c:f>Инвестиции!$A$7</c:f>
              <c:strCache>
                <c:ptCount val="1"/>
                <c:pt idx="0">
                  <c:v>частная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Инвестиции!$B$7:$G$7</c:f>
              <c:numCache>
                <c:formatCode>General</c:formatCode>
                <c:ptCount val="6"/>
                <c:pt idx="0">
                  <c:v>550.70000000000005</c:v>
                </c:pt>
                <c:pt idx="1">
                  <c:v>451.3</c:v>
                </c:pt>
                <c:pt idx="2">
                  <c:v>715.3</c:v>
                </c:pt>
                <c:pt idx="3">
                  <c:v>727.3</c:v>
                </c:pt>
                <c:pt idx="4">
                  <c:v>589.9</c:v>
                </c:pt>
                <c:pt idx="5">
                  <c:v>400.4</c:v>
                </c:pt>
              </c:numCache>
            </c:numRef>
          </c:val>
          <c:extLst xmlns:c16r2="http://schemas.microsoft.com/office/drawing/2015/06/chart">
            <c:ext xmlns:c16="http://schemas.microsoft.com/office/drawing/2014/chart" uri="{C3380CC4-5D6E-409C-BE32-E72D297353CC}">
              <c16:uniqueId val="{00000002-CB13-4BFB-9A58-1FC7FC85F2B1}"/>
            </c:ext>
          </c:extLst>
        </c:ser>
        <c:dLbls>
          <c:showLegendKey val="0"/>
          <c:showVal val="0"/>
          <c:showCatName val="0"/>
          <c:showSerName val="0"/>
          <c:showPercent val="0"/>
          <c:showBubbleSize val="0"/>
        </c:dLbls>
        <c:gapWidth val="219"/>
        <c:overlap val="-27"/>
        <c:axId val="373723856"/>
        <c:axId val="373724248"/>
      </c:barChart>
      <c:catAx>
        <c:axId val="37372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24248"/>
        <c:crosses val="autoZero"/>
        <c:auto val="1"/>
        <c:lblAlgn val="ctr"/>
        <c:lblOffset val="100"/>
        <c:noMultiLvlLbl val="0"/>
      </c:catAx>
      <c:valAx>
        <c:axId val="37372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2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AD8-4C0B-BBDA-F435A4F3272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AD8-4C0B-BBDA-F435A4F3272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AD8-4C0B-BBDA-F435A4F327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Инвестиции!$A$13:$A$15</c:f>
              <c:strCache>
                <c:ptCount val="3"/>
                <c:pt idx="0">
                  <c:v>Федеральный бюджет</c:v>
                </c:pt>
                <c:pt idx="1">
                  <c:v>Краевой бюджет</c:v>
                </c:pt>
                <c:pt idx="2">
                  <c:v>Бюджет МО</c:v>
                </c:pt>
              </c:strCache>
            </c:strRef>
          </c:cat>
          <c:val>
            <c:numRef>
              <c:f>Инвестиции!$B$13:$B$15</c:f>
              <c:numCache>
                <c:formatCode>General</c:formatCode>
                <c:ptCount val="3"/>
                <c:pt idx="0">
                  <c:v>49.6</c:v>
                </c:pt>
                <c:pt idx="1">
                  <c:v>14.8</c:v>
                </c:pt>
                <c:pt idx="2">
                  <c:v>8.9</c:v>
                </c:pt>
              </c:numCache>
            </c:numRef>
          </c:val>
          <c:extLst xmlns:c16r2="http://schemas.microsoft.com/office/drawing/2015/06/chart">
            <c:ext xmlns:c16="http://schemas.microsoft.com/office/drawing/2014/chart" uri="{C3380CC4-5D6E-409C-BE32-E72D297353CC}">
              <c16:uniqueId val="{00000006-3AD8-4C0B-BBDA-F435A4F3272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Инвестиции!$A$9</c:f>
              <c:strCache>
                <c:ptCount val="1"/>
                <c:pt idx="0">
                  <c:v>Собственные средства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Инвестиции!$B$9:$G$9</c:f>
              <c:numCache>
                <c:formatCode>General</c:formatCode>
                <c:ptCount val="6"/>
                <c:pt idx="0">
                  <c:v>536.70000000000005</c:v>
                </c:pt>
                <c:pt idx="1">
                  <c:v>548.1</c:v>
                </c:pt>
                <c:pt idx="2">
                  <c:v>659.8</c:v>
                </c:pt>
                <c:pt idx="3">
                  <c:v>710.5</c:v>
                </c:pt>
                <c:pt idx="4">
                  <c:v>552.9</c:v>
                </c:pt>
                <c:pt idx="5">
                  <c:v>382.2</c:v>
                </c:pt>
              </c:numCache>
            </c:numRef>
          </c:val>
          <c:extLst xmlns:c16r2="http://schemas.microsoft.com/office/drawing/2015/06/chart">
            <c:ext xmlns:c16="http://schemas.microsoft.com/office/drawing/2014/chart" uri="{C3380CC4-5D6E-409C-BE32-E72D297353CC}">
              <c16:uniqueId val="{00000000-C756-40A5-9954-3BB1C2C886C8}"/>
            </c:ext>
          </c:extLst>
        </c:ser>
        <c:ser>
          <c:idx val="1"/>
          <c:order val="1"/>
          <c:tx>
            <c:strRef>
              <c:f>Инвестиции!$A$10</c:f>
              <c:strCache>
                <c:ptCount val="1"/>
                <c:pt idx="0">
                  <c:v>Привлеченные средства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Инвестиции!$B$2:$G$2</c:f>
              <c:strCache>
                <c:ptCount val="6"/>
                <c:pt idx="0">
                  <c:v>2014 г.</c:v>
                </c:pt>
                <c:pt idx="1">
                  <c:v>2015 г.</c:v>
                </c:pt>
                <c:pt idx="2">
                  <c:v>2016 г.</c:v>
                </c:pt>
                <c:pt idx="3">
                  <c:v>2017 г.</c:v>
                </c:pt>
                <c:pt idx="4">
                  <c:v>2018 г.</c:v>
                </c:pt>
                <c:pt idx="5">
                  <c:v>2019 г.</c:v>
                </c:pt>
              </c:strCache>
            </c:strRef>
          </c:cat>
          <c:val>
            <c:numRef>
              <c:f>Инвестиции!$B$10:$G$10</c:f>
              <c:numCache>
                <c:formatCode>General</c:formatCode>
                <c:ptCount val="6"/>
                <c:pt idx="0">
                  <c:v>331.4</c:v>
                </c:pt>
                <c:pt idx="1">
                  <c:v>210.1</c:v>
                </c:pt>
                <c:pt idx="2">
                  <c:v>417.1</c:v>
                </c:pt>
                <c:pt idx="3">
                  <c:v>348.1</c:v>
                </c:pt>
                <c:pt idx="4">
                  <c:v>188.7</c:v>
                </c:pt>
                <c:pt idx="5">
                  <c:v>106.1</c:v>
                </c:pt>
              </c:numCache>
            </c:numRef>
          </c:val>
          <c:extLst xmlns:c16r2="http://schemas.microsoft.com/office/drawing/2015/06/chart">
            <c:ext xmlns:c16="http://schemas.microsoft.com/office/drawing/2014/chart" uri="{C3380CC4-5D6E-409C-BE32-E72D297353CC}">
              <c16:uniqueId val="{00000001-C756-40A5-9954-3BB1C2C886C8}"/>
            </c:ext>
          </c:extLst>
        </c:ser>
        <c:dLbls>
          <c:showLegendKey val="0"/>
          <c:showVal val="0"/>
          <c:showCatName val="0"/>
          <c:showSerName val="0"/>
          <c:showPercent val="0"/>
          <c:showBubbleSize val="0"/>
        </c:dLbls>
        <c:gapWidth val="219"/>
        <c:overlap val="-27"/>
        <c:axId val="373725424"/>
        <c:axId val="373725816"/>
      </c:barChart>
      <c:catAx>
        <c:axId val="3737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25816"/>
        <c:crosses val="autoZero"/>
        <c:auto val="1"/>
        <c:lblAlgn val="ctr"/>
        <c:lblOffset val="100"/>
        <c:noMultiLvlLbl val="0"/>
      </c:catAx>
      <c:valAx>
        <c:axId val="373725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2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АПК!$A$4</c:f>
              <c:strCache>
                <c:ptCount val="1"/>
                <c:pt idx="0">
                  <c:v>растениеводство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АПК!$B$2:$E$2</c:f>
              <c:strCache>
                <c:ptCount val="4"/>
                <c:pt idx="0">
                  <c:v>2016 г.</c:v>
                </c:pt>
                <c:pt idx="1">
                  <c:v>2017 г.</c:v>
                </c:pt>
                <c:pt idx="2">
                  <c:v>2018 г.</c:v>
                </c:pt>
                <c:pt idx="3">
                  <c:v>2019 г.</c:v>
                </c:pt>
              </c:strCache>
            </c:strRef>
          </c:cat>
          <c:val>
            <c:numRef>
              <c:f>АПК!$B$4:$E$4</c:f>
              <c:numCache>
                <c:formatCode>General</c:formatCode>
                <c:ptCount val="4"/>
                <c:pt idx="0">
                  <c:v>6597.1</c:v>
                </c:pt>
                <c:pt idx="1">
                  <c:v>5356.5</c:v>
                </c:pt>
                <c:pt idx="2">
                  <c:v>5207.3</c:v>
                </c:pt>
                <c:pt idx="3">
                  <c:v>5627.3</c:v>
                </c:pt>
              </c:numCache>
            </c:numRef>
          </c:val>
          <c:extLst xmlns:c16r2="http://schemas.microsoft.com/office/drawing/2015/06/chart">
            <c:ext xmlns:c16="http://schemas.microsoft.com/office/drawing/2014/chart" uri="{C3380CC4-5D6E-409C-BE32-E72D297353CC}">
              <c16:uniqueId val="{00000000-7127-4889-A9B0-C40C5C6F269A}"/>
            </c:ext>
          </c:extLst>
        </c:ser>
        <c:ser>
          <c:idx val="1"/>
          <c:order val="1"/>
          <c:tx>
            <c:strRef>
              <c:f>АПК!$A$5</c:f>
              <c:strCache>
                <c:ptCount val="1"/>
                <c:pt idx="0">
                  <c:v>животноводство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АПК!$B$2:$E$2</c:f>
              <c:strCache>
                <c:ptCount val="4"/>
                <c:pt idx="0">
                  <c:v>2016 г.</c:v>
                </c:pt>
                <c:pt idx="1">
                  <c:v>2017 г.</c:v>
                </c:pt>
                <c:pt idx="2">
                  <c:v>2018 г.</c:v>
                </c:pt>
                <c:pt idx="3">
                  <c:v>2019 г.</c:v>
                </c:pt>
              </c:strCache>
            </c:strRef>
          </c:cat>
          <c:val>
            <c:numRef>
              <c:f>АПК!$B$5:$E$5</c:f>
              <c:numCache>
                <c:formatCode>General</c:formatCode>
                <c:ptCount val="4"/>
                <c:pt idx="0">
                  <c:v>1014.3</c:v>
                </c:pt>
                <c:pt idx="1">
                  <c:v>928.1</c:v>
                </c:pt>
                <c:pt idx="2">
                  <c:v>884.5</c:v>
                </c:pt>
                <c:pt idx="3">
                  <c:v>771.8</c:v>
                </c:pt>
              </c:numCache>
            </c:numRef>
          </c:val>
          <c:extLst xmlns:c16r2="http://schemas.microsoft.com/office/drawing/2015/06/chart">
            <c:ext xmlns:c16="http://schemas.microsoft.com/office/drawing/2014/chart" uri="{C3380CC4-5D6E-409C-BE32-E72D297353CC}">
              <c16:uniqueId val="{00000001-7127-4889-A9B0-C40C5C6F269A}"/>
            </c:ext>
          </c:extLst>
        </c:ser>
        <c:dLbls>
          <c:showLegendKey val="0"/>
          <c:showVal val="0"/>
          <c:showCatName val="0"/>
          <c:showSerName val="0"/>
          <c:showPercent val="0"/>
          <c:showBubbleSize val="0"/>
        </c:dLbls>
        <c:gapWidth val="219"/>
        <c:overlap val="-27"/>
        <c:axId val="373726992"/>
        <c:axId val="369299320"/>
      </c:barChart>
      <c:catAx>
        <c:axId val="37372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99320"/>
        <c:crosses val="autoZero"/>
        <c:auto val="1"/>
        <c:lblAlgn val="ctr"/>
        <c:lblOffset val="100"/>
        <c:noMultiLvlLbl val="0"/>
      </c:catAx>
      <c:valAx>
        <c:axId val="36929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2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АПК!$A$21</c:f>
              <c:strCache>
                <c:ptCount val="1"/>
                <c:pt idx="0">
                  <c:v>Овощи открытого грунта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АПК!$B$17:$G$17</c:f>
              <c:strCache>
                <c:ptCount val="6"/>
                <c:pt idx="0">
                  <c:v>2014 г.</c:v>
                </c:pt>
                <c:pt idx="1">
                  <c:v>2015 г.</c:v>
                </c:pt>
                <c:pt idx="2">
                  <c:v>2016 г.</c:v>
                </c:pt>
                <c:pt idx="3">
                  <c:v>2017 г.</c:v>
                </c:pt>
                <c:pt idx="4">
                  <c:v>2018 г.</c:v>
                </c:pt>
                <c:pt idx="5">
                  <c:v>2019 г.</c:v>
                </c:pt>
              </c:strCache>
            </c:strRef>
          </c:cat>
          <c:val>
            <c:numRef>
              <c:f>АПК!$B$21:$G$21</c:f>
              <c:numCache>
                <c:formatCode>General</c:formatCode>
                <c:ptCount val="6"/>
                <c:pt idx="0">
                  <c:v>5800</c:v>
                </c:pt>
                <c:pt idx="1">
                  <c:v>6500</c:v>
                </c:pt>
                <c:pt idx="2">
                  <c:v>8800</c:v>
                </c:pt>
                <c:pt idx="3">
                  <c:v>4700</c:v>
                </c:pt>
                <c:pt idx="4">
                  <c:v>3200</c:v>
                </c:pt>
                <c:pt idx="5">
                  <c:v>3600</c:v>
                </c:pt>
              </c:numCache>
            </c:numRef>
          </c:val>
          <c:extLst xmlns:c16r2="http://schemas.microsoft.com/office/drawing/2015/06/chart">
            <c:ext xmlns:c16="http://schemas.microsoft.com/office/drawing/2014/chart" uri="{C3380CC4-5D6E-409C-BE32-E72D297353CC}">
              <c16:uniqueId val="{00000000-A56D-4880-B3D0-7EBF4BCA7EDA}"/>
            </c:ext>
          </c:extLst>
        </c:ser>
        <c:ser>
          <c:idx val="1"/>
          <c:order val="1"/>
          <c:tx>
            <c:strRef>
              <c:f>АПК!$A$22</c:f>
              <c:strCache>
                <c:ptCount val="1"/>
                <c:pt idx="0">
                  <c:v>Плоды и ягоды</c:v>
                </c:pt>
              </c:strCache>
            </c:strRef>
          </c:tx>
          <c:spPr>
            <a:solidFill>
              <a:schemeClr val="accent2"/>
            </a:solidFill>
            <a:ln>
              <a:noFill/>
            </a:ln>
            <a:effectLst/>
          </c:spPr>
          <c:invertIfNegative val="0"/>
          <c:dLbls>
            <c:dLbl>
              <c:idx val="3"/>
              <c:layout>
                <c:manualLayout>
                  <c:x val="1.4861995753715577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6D-4880-B3D0-7EBF4BCA7E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АПК!$B$17:$G$17</c:f>
              <c:strCache>
                <c:ptCount val="6"/>
                <c:pt idx="0">
                  <c:v>2014 г.</c:v>
                </c:pt>
                <c:pt idx="1">
                  <c:v>2015 г.</c:v>
                </c:pt>
                <c:pt idx="2">
                  <c:v>2016 г.</c:v>
                </c:pt>
                <c:pt idx="3">
                  <c:v>2017 г.</c:v>
                </c:pt>
                <c:pt idx="4">
                  <c:v>2018 г.</c:v>
                </c:pt>
                <c:pt idx="5">
                  <c:v>2019 г.</c:v>
                </c:pt>
              </c:strCache>
            </c:strRef>
          </c:cat>
          <c:val>
            <c:numRef>
              <c:f>АПК!$B$22:$G$22</c:f>
              <c:numCache>
                <c:formatCode>General</c:formatCode>
                <c:ptCount val="6"/>
                <c:pt idx="0">
                  <c:v>2592</c:v>
                </c:pt>
                <c:pt idx="1">
                  <c:v>4314</c:v>
                </c:pt>
                <c:pt idx="2">
                  <c:v>6380</c:v>
                </c:pt>
                <c:pt idx="3">
                  <c:v>4716</c:v>
                </c:pt>
                <c:pt idx="4">
                  <c:v>5836</c:v>
                </c:pt>
                <c:pt idx="5">
                  <c:v>6573</c:v>
                </c:pt>
              </c:numCache>
            </c:numRef>
          </c:val>
          <c:extLst xmlns:c16r2="http://schemas.microsoft.com/office/drawing/2015/06/chart">
            <c:ext xmlns:c16="http://schemas.microsoft.com/office/drawing/2014/chart" uri="{C3380CC4-5D6E-409C-BE32-E72D297353CC}">
              <c16:uniqueId val="{00000001-A56D-4880-B3D0-7EBF4BCA7EDA}"/>
            </c:ext>
          </c:extLst>
        </c:ser>
        <c:ser>
          <c:idx val="2"/>
          <c:order val="2"/>
          <c:tx>
            <c:strRef>
              <c:f>АПК!$A$23</c:f>
              <c:strCache>
                <c:ptCount val="1"/>
                <c:pt idx="0">
                  <c:v>Виноград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АПК!$B$17:$G$17</c:f>
              <c:strCache>
                <c:ptCount val="6"/>
                <c:pt idx="0">
                  <c:v>2014 г.</c:v>
                </c:pt>
                <c:pt idx="1">
                  <c:v>2015 г.</c:v>
                </c:pt>
                <c:pt idx="2">
                  <c:v>2016 г.</c:v>
                </c:pt>
                <c:pt idx="3">
                  <c:v>2017 г.</c:v>
                </c:pt>
                <c:pt idx="4">
                  <c:v>2018 г.</c:v>
                </c:pt>
                <c:pt idx="5">
                  <c:v>2019 г.</c:v>
                </c:pt>
              </c:strCache>
            </c:strRef>
          </c:cat>
          <c:val>
            <c:numRef>
              <c:f>АПК!$B$23:$G$23</c:f>
              <c:numCache>
                <c:formatCode>General</c:formatCode>
                <c:ptCount val="6"/>
                <c:pt idx="0">
                  <c:v>501</c:v>
                </c:pt>
                <c:pt idx="1">
                  <c:v>390</c:v>
                </c:pt>
                <c:pt idx="2">
                  <c:v>65</c:v>
                </c:pt>
                <c:pt idx="3">
                  <c:v>61</c:v>
                </c:pt>
                <c:pt idx="4">
                  <c:v>42</c:v>
                </c:pt>
                <c:pt idx="5">
                  <c:v>44</c:v>
                </c:pt>
              </c:numCache>
            </c:numRef>
          </c:val>
          <c:extLst xmlns:c16r2="http://schemas.microsoft.com/office/drawing/2015/06/chart">
            <c:ext xmlns:c16="http://schemas.microsoft.com/office/drawing/2014/chart" uri="{C3380CC4-5D6E-409C-BE32-E72D297353CC}">
              <c16:uniqueId val="{00000002-A56D-4880-B3D0-7EBF4BCA7EDA}"/>
            </c:ext>
          </c:extLst>
        </c:ser>
        <c:dLbls>
          <c:showLegendKey val="0"/>
          <c:showVal val="0"/>
          <c:showCatName val="0"/>
          <c:showSerName val="0"/>
          <c:showPercent val="0"/>
          <c:showBubbleSize val="0"/>
        </c:dLbls>
        <c:gapWidth val="219"/>
        <c:overlap val="-27"/>
        <c:axId val="369300104"/>
        <c:axId val="369300496"/>
      </c:barChart>
      <c:catAx>
        <c:axId val="369300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300496"/>
        <c:crosses val="autoZero"/>
        <c:auto val="1"/>
        <c:lblAlgn val="ctr"/>
        <c:lblOffset val="100"/>
        <c:noMultiLvlLbl val="0"/>
      </c:catAx>
      <c:valAx>
        <c:axId val="36930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30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Промышленность!$A$4</c:f>
              <c:strCache>
                <c:ptCount val="1"/>
                <c:pt idx="0">
                  <c:v>производство пищевых продуктов, млн.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Промышленность!$B$1:$D$1</c:f>
              <c:strCache>
                <c:ptCount val="3"/>
                <c:pt idx="0">
                  <c:v>2017 г.</c:v>
                </c:pt>
                <c:pt idx="1">
                  <c:v>2018 г.</c:v>
                </c:pt>
                <c:pt idx="2">
                  <c:v>2019 г.</c:v>
                </c:pt>
              </c:strCache>
            </c:strRef>
          </c:cat>
          <c:val>
            <c:numRef>
              <c:f>Промышленность!$B$4:$D$4</c:f>
              <c:numCache>
                <c:formatCode>General</c:formatCode>
                <c:ptCount val="3"/>
                <c:pt idx="0">
                  <c:v>165.6</c:v>
                </c:pt>
                <c:pt idx="1">
                  <c:v>170.3</c:v>
                </c:pt>
                <c:pt idx="2">
                  <c:v>121.3</c:v>
                </c:pt>
              </c:numCache>
            </c:numRef>
          </c:val>
          <c:extLst xmlns:c16r2="http://schemas.microsoft.com/office/drawing/2015/06/chart">
            <c:ext xmlns:c16="http://schemas.microsoft.com/office/drawing/2014/chart" uri="{C3380CC4-5D6E-409C-BE32-E72D297353CC}">
              <c16:uniqueId val="{00000000-6912-401C-B0C6-14A4FAFACFEF}"/>
            </c:ext>
          </c:extLst>
        </c:ser>
        <c:dLbls>
          <c:showLegendKey val="0"/>
          <c:showVal val="0"/>
          <c:showCatName val="0"/>
          <c:showSerName val="0"/>
          <c:showPercent val="0"/>
          <c:showBubbleSize val="0"/>
        </c:dLbls>
        <c:gapWidth val="219"/>
        <c:overlap val="-27"/>
        <c:axId val="369302456"/>
        <c:axId val="369302064"/>
      </c:barChart>
      <c:lineChart>
        <c:grouping val="standard"/>
        <c:varyColors val="0"/>
        <c:ser>
          <c:idx val="1"/>
          <c:order val="1"/>
          <c:tx>
            <c:strRef>
              <c:f>Промышленность!$A$5</c:f>
              <c:strCache>
                <c:ptCount val="1"/>
                <c:pt idx="0">
                  <c:v>Доля производства пищевых продуктов в обрабатывающей промышленности, %</c:v>
                </c:pt>
              </c:strCache>
            </c:strRef>
          </c:tx>
          <c:spPr>
            <a:ln w="28575" cap="rnd">
              <a:solidFill>
                <a:schemeClr val="accent2"/>
              </a:solidFill>
              <a:round/>
            </a:ln>
            <a:effectLst/>
          </c:spPr>
          <c:marker>
            <c:symbol val="none"/>
          </c:marker>
          <c:val>
            <c:numRef>
              <c:f>Промышленность!$B$5:$D$5</c:f>
              <c:numCache>
                <c:formatCode>General</c:formatCode>
                <c:ptCount val="3"/>
                <c:pt idx="0">
                  <c:v>99.879372738238843</c:v>
                </c:pt>
                <c:pt idx="1">
                  <c:v>99.941314553990608</c:v>
                </c:pt>
                <c:pt idx="2">
                  <c:v>99.835390946502059</c:v>
                </c:pt>
              </c:numCache>
            </c:numRef>
          </c:val>
          <c:smooth val="0"/>
          <c:extLst xmlns:c16r2="http://schemas.microsoft.com/office/drawing/2015/06/chart">
            <c:ext xmlns:c16="http://schemas.microsoft.com/office/drawing/2014/chart" uri="{C3380CC4-5D6E-409C-BE32-E72D297353CC}">
              <c16:uniqueId val="{00000001-6912-401C-B0C6-14A4FAFACFEF}"/>
            </c:ext>
          </c:extLst>
        </c:ser>
        <c:dLbls>
          <c:showLegendKey val="0"/>
          <c:showVal val="0"/>
          <c:showCatName val="0"/>
          <c:showSerName val="0"/>
          <c:showPercent val="0"/>
          <c:showBubbleSize val="0"/>
        </c:dLbls>
        <c:marker val="1"/>
        <c:smooth val="0"/>
        <c:axId val="369301672"/>
        <c:axId val="369301280"/>
      </c:lineChart>
      <c:valAx>
        <c:axId val="369301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301672"/>
        <c:crosses val="max"/>
        <c:crossBetween val="between"/>
      </c:valAx>
      <c:catAx>
        <c:axId val="369301672"/>
        <c:scaling>
          <c:orientation val="minMax"/>
        </c:scaling>
        <c:delete val="1"/>
        <c:axPos val="b"/>
        <c:majorTickMark val="out"/>
        <c:minorTickMark val="none"/>
        <c:tickLblPos val="nextTo"/>
        <c:crossAx val="369301280"/>
        <c:crosses val="autoZero"/>
        <c:auto val="1"/>
        <c:lblAlgn val="ctr"/>
        <c:lblOffset val="100"/>
        <c:noMultiLvlLbl val="0"/>
      </c:catAx>
      <c:valAx>
        <c:axId val="3693020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302456"/>
        <c:crosses val="autoZero"/>
        <c:crossBetween val="between"/>
      </c:valAx>
      <c:catAx>
        <c:axId val="369302456"/>
        <c:scaling>
          <c:orientation val="minMax"/>
        </c:scaling>
        <c:delete val="1"/>
        <c:axPos val="b"/>
        <c:numFmt formatCode="General" sourceLinked="1"/>
        <c:majorTickMark val="out"/>
        <c:minorTickMark val="none"/>
        <c:tickLblPos val="nextTo"/>
        <c:crossAx val="369302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Строительство!$F$30</c:f>
              <c:strCache>
                <c:ptCount val="1"/>
                <c:pt idx="0">
                  <c:v>2018 г.</c:v>
                </c:pt>
              </c:strCache>
            </c:strRef>
          </c:tx>
          <c:spPr>
            <a:solidFill>
              <a:schemeClr val="accent1"/>
            </a:solidFill>
            <a:ln>
              <a:noFill/>
            </a:ln>
            <a:effectLst/>
          </c:spPr>
          <c:invertIfNegative val="0"/>
          <c:cat>
            <c:strRef>
              <c:f>Строительство!$A$31:$A$37</c:f>
              <c:strCache>
                <c:ptCount val="7"/>
                <c:pt idx="0">
                  <c:v>Труновский</c:v>
                </c:pt>
                <c:pt idx="1">
                  <c:v>Красногвардейский</c:v>
                </c:pt>
                <c:pt idx="2">
                  <c:v>Грачевский</c:v>
                </c:pt>
                <c:pt idx="3">
                  <c:v>Апанасенковский</c:v>
                </c:pt>
                <c:pt idx="4">
                  <c:v>Степновский</c:v>
                </c:pt>
                <c:pt idx="5">
                  <c:v>Левокумский</c:v>
                </c:pt>
                <c:pt idx="6">
                  <c:v>Курский</c:v>
                </c:pt>
              </c:strCache>
            </c:strRef>
          </c:cat>
          <c:val>
            <c:numRef>
              <c:f>Строительство!$F$31:$F$37</c:f>
              <c:numCache>
                <c:formatCode>0.00</c:formatCode>
                <c:ptCount val="7"/>
                <c:pt idx="0">
                  <c:v>38.621222361687742</c:v>
                </c:pt>
                <c:pt idx="1">
                  <c:v>91.258018627372039</c:v>
                </c:pt>
                <c:pt idx="2">
                  <c:v>68.846815834767639</c:v>
                </c:pt>
                <c:pt idx="3">
                  <c:v>150.83945435466947</c:v>
                </c:pt>
                <c:pt idx="4">
                  <c:v>98.674936566112208</c:v>
                </c:pt>
                <c:pt idx="5">
                  <c:v>71.32485926076879</c:v>
                </c:pt>
                <c:pt idx="6">
                  <c:v>123.70753323485968</c:v>
                </c:pt>
              </c:numCache>
            </c:numRef>
          </c:val>
          <c:extLst xmlns:c16r2="http://schemas.microsoft.com/office/drawing/2015/06/chart">
            <c:ext xmlns:c16="http://schemas.microsoft.com/office/drawing/2014/chart" uri="{C3380CC4-5D6E-409C-BE32-E72D297353CC}">
              <c16:uniqueId val="{00000000-0AFE-41DD-90CD-19C04438E55F}"/>
            </c:ext>
          </c:extLst>
        </c:ser>
        <c:ser>
          <c:idx val="1"/>
          <c:order val="1"/>
          <c:tx>
            <c:strRef>
              <c:f>Строительство!$G$30</c:f>
              <c:strCache>
                <c:ptCount val="1"/>
                <c:pt idx="0">
                  <c:v>2019 г.</c:v>
                </c:pt>
              </c:strCache>
            </c:strRef>
          </c:tx>
          <c:spPr>
            <a:solidFill>
              <a:schemeClr val="accent2"/>
            </a:solidFill>
            <a:ln>
              <a:noFill/>
            </a:ln>
            <a:effectLst/>
          </c:spPr>
          <c:invertIfNegative val="0"/>
          <c:cat>
            <c:strRef>
              <c:f>Строительство!$A$31:$A$37</c:f>
              <c:strCache>
                <c:ptCount val="7"/>
                <c:pt idx="0">
                  <c:v>Труновский</c:v>
                </c:pt>
                <c:pt idx="1">
                  <c:v>Красногвардейский</c:v>
                </c:pt>
                <c:pt idx="2">
                  <c:v>Грачевский</c:v>
                </c:pt>
                <c:pt idx="3">
                  <c:v>Апанасенковский</c:v>
                </c:pt>
                <c:pt idx="4">
                  <c:v>Степновский</c:v>
                </c:pt>
                <c:pt idx="5">
                  <c:v>Левокумский</c:v>
                </c:pt>
                <c:pt idx="6">
                  <c:v>Курский</c:v>
                </c:pt>
              </c:strCache>
            </c:strRef>
          </c:cat>
          <c:val>
            <c:numRef>
              <c:f>Строительство!$G$31:$G$37</c:f>
              <c:numCache>
                <c:formatCode>0.00</c:formatCode>
                <c:ptCount val="7"/>
                <c:pt idx="0">
                  <c:v>45.97852146211698</c:v>
                </c:pt>
                <c:pt idx="1">
                  <c:v>64.910477632931261</c:v>
                </c:pt>
                <c:pt idx="2">
                  <c:v>77.608585115208612</c:v>
                </c:pt>
                <c:pt idx="3">
                  <c:v>120.01600213361782</c:v>
                </c:pt>
                <c:pt idx="4">
                  <c:v>94.366330093422675</c:v>
                </c:pt>
                <c:pt idx="5">
                  <c:v>91.680036672014666</c:v>
                </c:pt>
                <c:pt idx="6">
                  <c:v>231.43005258090795</c:v>
                </c:pt>
              </c:numCache>
            </c:numRef>
          </c:val>
          <c:extLst xmlns:c16r2="http://schemas.microsoft.com/office/drawing/2015/06/chart">
            <c:ext xmlns:c16="http://schemas.microsoft.com/office/drawing/2014/chart" uri="{C3380CC4-5D6E-409C-BE32-E72D297353CC}">
              <c16:uniqueId val="{00000001-0AFE-41DD-90CD-19C04438E55F}"/>
            </c:ext>
          </c:extLst>
        </c:ser>
        <c:dLbls>
          <c:showLegendKey val="0"/>
          <c:showVal val="0"/>
          <c:showCatName val="0"/>
          <c:showSerName val="0"/>
          <c:showPercent val="0"/>
          <c:showBubbleSize val="0"/>
        </c:dLbls>
        <c:gapWidth val="219"/>
        <c:overlap val="-27"/>
        <c:axId val="368898000"/>
        <c:axId val="368898392"/>
      </c:barChart>
      <c:catAx>
        <c:axId val="36889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898392"/>
        <c:crosses val="autoZero"/>
        <c:auto val="1"/>
        <c:lblAlgn val="ctr"/>
        <c:lblOffset val="100"/>
        <c:noMultiLvlLbl val="0"/>
      </c:catAx>
      <c:valAx>
        <c:axId val="368898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89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9BA6-4911-AFF8-91969898B3CF}"/>
              </c:ext>
            </c:extLst>
          </c:dPt>
          <c:cat>
            <c:strRef>
              <c:f>Строительство!$B$107:$E$107</c:f>
              <c:strCache>
                <c:ptCount val="4"/>
                <c:pt idx="0">
                  <c:v>водопровод</c:v>
                </c:pt>
                <c:pt idx="1">
                  <c:v>канализация</c:v>
                </c:pt>
                <c:pt idx="2">
                  <c:v>центральное отопление</c:v>
                </c:pt>
                <c:pt idx="3">
                  <c:v>горячее водоcнабжение</c:v>
                </c:pt>
              </c:strCache>
            </c:strRef>
          </c:cat>
          <c:val>
            <c:numRef>
              <c:f>Строительство!$B$132:$E$132</c:f>
              <c:numCache>
                <c:formatCode>General</c:formatCode>
                <c:ptCount val="4"/>
                <c:pt idx="0">
                  <c:v>99</c:v>
                </c:pt>
                <c:pt idx="1">
                  <c:v>99</c:v>
                </c:pt>
                <c:pt idx="2">
                  <c:v>99.6</c:v>
                </c:pt>
                <c:pt idx="3">
                  <c:v>91.8</c:v>
                </c:pt>
              </c:numCache>
            </c:numRef>
          </c:val>
          <c:extLst xmlns:c16r2="http://schemas.microsoft.com/office/drawing/2015/06/chart">
            <c:ext xmlns:c16="http://schemas.microsoft.com/office/drawing/2014/chart" uri="{C3380CC4-5D6E-409C-BE32-E72D297353CC}">
              <c16:uniqueId val="{00000002-9BA6-4911-AFF8-91969898B3CF}"/>
            </c:ext>
          </c:extLst>
        </c:ser>
        <c:dLbls>
          <c:showLegendKey val="0"/>
          <c:showVal val="0"/>
          <c:showCatName val="0"/>
          <c:showSerName val="0"/>
          <c:showPercent val="0"/>
          <c:showBubbleSize val="0"/>
        </c:dLbls>
        <c:gapWidth val="100"/>
        <c:shape val="box"/>
        <c:axId val="368899176"/>
        <c:axId val="368899568"/>
        <c:axId val="0"/>
      </c:bar3DChart>
      <c:catAx>
        <c:axId val="368899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899568"/>
        <c:crosses val="autoZero"/>
        <c:auto val="1"/>
        <c:lblAlgn val="ctr"/>
        <c:lblOffset val="100"/>
        <c:noMultiLvlLbl val="0"/>
      </c:catAx>
      <c:valAx>
        <c:axId val="36889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899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35E0-4AB7-9CDA-690A298D37EE}"/>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35E0-4AB7-9CDA-690A298D37EE}"/>
              </c:ext>
            </c:extLst>
          </c:dPt>
          <c:cat>
            <c:strRef>
              <c:f>'На душу населения районы'!$A$57:$A$62</c:f>
              <c:strCache>
                <c:ptCount val="6"/>
                <c:pt idx="0">
                  <c:v>Кочубеевский </c:v>
                </c:pt>
                <c:pt idx="1">
                  <c:v>Александровский</c:v>
                </c:pt>
                <c:pt idx="2">
                  <c:v>Будённовский </c:v>
                </c:pt>
                <c:pt idx="3">
                  <c:v>Красногвардейский </c:v>
                </c:pt>
                <c:pt idx="4">
                  <c:v>Предгорный </c:v>
                </c:pt>
                <c:pt idx="5">
                  <c:v>Труновский </c:v>
                </c:pt>
              </c:strCache>
            </c:strRef>
          </c:cat>
          <c:val>
            <c:numRef>
              <c:f>'На душу населения районы'!$B$57:$B$62</c:f>
              <c:numCache>
                <c:formatCode>0.0</c:formatCode>
                <c:ptCount val="6"/>
                <c:pt idx="0">
                  <c:v>23.810098086509086</c:v>
                </c:pt>
                <c:pt idx="1">
                  <c:v>22.032860049443215</c:v>
                </c:pt>
                <c:pt idx="2">
                  <c:v>22.908812906967547</c:v>
                </c:pt>
                <c:pt idx="3">
                  <c:v>27.213717747606431</c:v>
                </c:pt>
                <c:pt idx="4">
                  <c:v>26.390596745027128</c:v>
                </c:pt>
                <c:pt idx="5">
                  <c:v>25.435974908864001</c:v>
                </c:pt>
              </c:numCache>
            </c:numRef>
          </c:val>
          <c:extLst xmlns:c16r2="http://schemas.microsoft.com/office/drawing/2015/06/chart">
            <c:ext xmlns:c16="http://schemas.microsoft.com/office/drawing/2014/chart" uri="{C3380CC4-5D6E-409C-BE32-E72D297353CC}">
              <c16:uniqueId val="{00000002-35E0-4AB7-9CDA-690A298D37EE}"/>
            </c:ext>
          </c:extLst>
        </c:ser>
        <c:dLbls>
          <c:showLegendKey val="0"/>
          <c:showVal val="0"/>
          <c:showCatName val="0"/>
          <c:showSerName val="0"/>
          <c:showPercent val="0"/>
          <c:showBubbleSize val="0"/>
        </c:dLbls>
        <c:gapWidth val="150"/>
        <c:shape val="box"/>
        <c:axId val="368900352"/>
        <c:axId val="368900744"/>
        <c:axId val="0"/>
      </c:bar3DChart>
      <c:catAx>
        <c:axId val="368900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900744"/>
        <c:crosses val="autoZero"/>
        <c:auto val="1"/>
        <c:lblAlgn val="ctr"/>
        <c:lblOffset val="100"/>
        <c:noMultiLvlLbl val="0"/>
      </c:catAx>
      <c:valAx>
        <c:axId val="368900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900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'Темпы роста МСБ'!$A$25</c:f>
              <c:strCache>
                <c:ptCount val="1"/>
                <c:pt idx="0">
                  <c:v>индивидуальные предприниматели </c:v>
                </c:pt>
              </c:strCache>
            </c:strRef>
          </c:tx>
          <c:spPr>
            <a:ln w="28575" cap="sq">
              <a:solidFill>
                <a:schemeClr val="accent1"/>
              </a:solidFill>
              <a:miter lim="800000"/>
            </a:ln>
            <a:effectLst/>
          </c:spPr>
          <c:marker>
            <c:symbol val="circle"/>
            <c:size val="5"/>
            <c:spPr>
              <a:solidFill>
                <a:schemeClr val="accent1"/>
              </a:solidFill>
              <a:ln w="9525">
                <a:solidFill>
                  <a:schemeClr val="accent1"/>
                </a:solidFill>
              </a:ln>
              <a:effectLst/>
            </c:spPr>
          </c:marker>
          <c:dLbls>
            <c:dLbl>
              <c:idx val="0"/>
              <c:layout>
                <c:manualLayout>
                  <c:x val="-3.3333333333333361E-2"/>
                  <c:y val="-6.9444444444444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84-457E-A75C-8B32786C97E0}"/>
                </c:ext>
                <c:ext xmlns:c15="http://schemas.microsoft.com/office/drawing/2012/chart" uri="{CE6537A1-D6FC-4f65-9D91-7224C49458BB}"/>
              </c:extLst>
            </c:dLbl>
            <c:dLbl>
              <c:idx val="1"/>
              <c:layout>
                <c:manualLayout>
                  <c:x val="-5.2777777777777826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84-457E-A75C-8B32786C97E0}"/>
                </c:ext>
                <c:ext xmlns:c15="http://schemas.microsoft.com/office/drawing/2012/chart" uri="{CE6537A1-D6FC-4f65-9D91-7224C49458BB}"/>
              </c:extLst>
            </c:dLbl>
            <c:dLbl>
              <c:idx val="2"/>
              <c:layout>
                <c:manualLayout>
                  <c:x val="-7.4999999999999997E-2"/>
                  <c:y val="-4.6296296296296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84-457E-A75C-8B32786C97E0}"/>
                </c:ext>
                <c:ext xmlns:c15="http://schemas.microsoft.com/office/drawing/2012/chart" uri="{CE6537A1-D6FC-4f65-9D91-7224C49458BB}"/>
              </c:extLst>
            </c:dLbl>
            <c:dLbl>
              <c:idx val="3"/>
              <c:layout>
                <c:manualLayout>
                  <c:x val="-6.9444444444444448E-2"/>
                  <c:y val="-6.4814814814814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84-457E-A75C-8B32786C97E0}"/>
                </c:ext>
                <c:ext xmlns:c15="http://schemas.microsoft.com/office/drawing/2012/chart" uri="{CE6537A1-D6FC-4f65-9D91-7224C49458BB}"/>
              </c:extLst>
            </c:dLbl>
            <c:dLbl>
              <c:idx val="4"/>
              <c:layout>
                <c:manualLayout>
                  <c:x val="-5.833333333333343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84-457E-A75C-8B32786C97E0}"/>
                </c:ext>
                <c:ext xmlns:c15="http://schemas.microsoft.com/office/drawing/2012/chart" uri="{CE6537A1-D6FC-4f65-9D91-7224C49458BB}"/>
              </c:extLst>
            </c:dLbl>
            <c:dLbl>
              <c:idx val="5"/>
              <c:layout>
                <c:manualLayout>
                  <c:x val="-3.333333333333333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84-457E-A75C-8B32786C97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'Темпы роста МСБ'!$B$24:$G$24</c:f>
              <c:strCache>
                <c:ptCount val="6"/>
                <c:pt idx="0">
                  <c:v>2014 г.</c:v>
                </c:pt>
                <c:pt idx="1">
                  <c:v>2015 г.</c:v>
                </c:pt>
                <c:pt idx="2">
                  <c:v>2016 г.</c:v>
                </c:pt>
                <c:pt idx="3">
                  <c:v>2017 г.</c:v>
                </c:pt>
                <c:pt idx="4">
                  <c:v>2018 г.</c:v>
                </c:pt>
                <c:pt idx="5">
                  <c:v>2019 г.</c:v>
                </c:pt>
              </c:strCache>
            </c:strRef>
          </c:cat>
          <c:val>
            <c:numRef>
              <c:f>'Темпы роста МСБ'!$B$25:$G$25</c:f>
              <c:numCache>
                <c:formatCode>General</c:formatCode>
                <c:ptCount val="6"/>
                <c:pt idx="0">
                  <c:v>1017</c:v>
                </c:pt>
                <c:pt idx="1">
                  <c:v>1006</c:v>
                </c:pt>
                <c:pt idx="2">
                  <c:v>1059</c:v>
                </c:pt>
                <c:pt idx="3">
                  <c:v>1115</c:v>
                </c:pt>
                <c:pt idx="4">
                  <c:v>1129</c:v>
                </c:pt>
                <c:pt idx="5">
                  <c:v>1122</c:v>
                </c:pt>
              </c:numCache>
            </c:numRef>
          </c:val>
          <c:smooth val="0"/>
          <c:extLst xmlns:c16r2="http://schemas.microsoft.com/office/drawing/2015/06/chart">
            <c:ext xmlns:c16="http://schemas.microsoft.com/office/drawing/2014/chart" uri="{C3380CC4-5D6E-409C-BE32-E72D297353CC}">
              <c16:uniqueId val="{00000006-7684-457E-A75C-8B32786C97E0}"/>
            </c:ext>
          </c:extLst>
        </c:ser>
        <c:dLbls>
          <c:showLegendKey val="0"/>
          <c:showVal val="0"/>
          <c:showCatName val="0"/>
          <c:showSerName val="0"/>
          <c:showPercent val="0"/>
          <c:showBubbleSize val="0"/>
        </c:dLbls>
        <c:marker val="1"/>
        <c:smooth val="0"/>
        <c:axId val="368901528"/>
        <c:axId val="373775792"/>
      </c:lineChart>
      <c:catAx>
        <c:axId val="36890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5792"/>
        <c:crosses val="autoZero"/>
        <c:auto val="1"/>
        <c:lblAlgn val="ctr"/>
        <c:lblOffset val="100"/>
        <c:noMultiLvlLbl val="0"/>
      </c:catAx>
      <c:valAx>
        <c:axId val="3737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901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47523495046994E-2"/>
          <c:y val="5.0925925925925923E-2"/>
          <c:w val="0.89259656252645836"/>
          <c:h val="0.46568460192475941"/>
        </c:manualLayout>
      </c:layout>
      <c:barChart>
        <c:barDir val="col"/>
        <c:grouping val="clustered"/>
        <c:varyColors val="0"/>
        <c:ser>
          <c:idx val="0"/>
          <c:order val="0"/>
          <c:tx>
            <c:strRef>
              <c:f>'Место Округа'!$D$35</c:f>
              <c:strCache>
                <c:ptCount val="1"/>
                <c:pt idx="0">
                  <c:v>Доля занятых</c:v>
                </c:pt>
              </c:strCache>
            </c:strRef>
          </c:tx>
          <c:spPr>
            <a:solidFill>
              <a:schemeClr val="accent1"/>
            </a:solidFill>
            <a:ln>
              <a:noFill/>
            </a:ln>
            <a:effectLst/>
          </c:spPr>
          <c:invertIfNegative val="0"/>
          <c:cat>
            <c:strRef>
              <c:f>'Место Округа'!$A$36:$A$44</c:f>
              <c:strCache>
                <c:ptCount val="9"/>
                <c:pt idx="0">
                  <c:v>Сельское хозяйство</c:v>
                </c:pt>
                <c:pt idx="1">
                  <c:v>Обрабатывающие производства </c:v>
                </c:pt>
                <c:pt idx="2">
                  <c:v>ЖКХ
</c:v>
                </c:pt>
                <c:pt idx="3">
                  <c:v> Оптово-розничная торговля</c:v>
                </c:pt>
                <c:pt idx="4">
                  <c:v>Деятельность гостиниц и предприятий 
общественного питания
</c:v>
                </c:pt>
                <c:pt idx="5">
                  <c:v>Государственное управлени</c:v>
                </c:pt>
                <c:pt idx="6">
                  <c:v>Образование </c:v>
                </c:pt>
                <c:pt idx="7">
                  <c:v>Здравоохранение 
</c:v>
                </c:pt>
                <c:pt idx="8">
                  <c:v>Культура и спорт
</c:v>
                </c:pt>
              </c:strCache>
            </c:strRef>
          </c:cat>
          <c:val>
            <c:numRef>
              <c:f>'Место Округа'!$D$36:$D$44</c:f>
              <c:numCache>
                <c:formatCode>General</c:formatCode>
                <c:ptCount val="9"/>
                <c:pt idx="0">
                  <c:v>34.945680289705123</c:v>
                </c:pt>
                <c:pt idx="1">
                  <c:v>1.1122607346094155</c:v>
                </c:pt>
                <c:pt idx="2">
                  <c:v>3.7765131919296433</c:v>
                </c:pt>
                <c:pt idx="3">
                  <c:v>1.3967925504397309</c:v>
                </c:pt>
                <c:pt idx="4">
                  <c:v>0.41386445938954991</c:v>
                </c:pt>
                <c:pt idx="5">
                  <c:v>9.4154164511122609</c:v>
                </c:pt>
                <c:pt idx="6">
                  <c:v>23.047077082255562</c:v>
                </c:pt>
                <c:pt idx="7">
                  <c:v>15.235385411277807</c:v>
                </c:pt>
                <c:pt idx="8">
                  <c:v>2.586652871184687</c:v>
                </c:pt>
              </c:numCache>
            </c:numRef>
          </c:val>
          <c:extLst xmlns:c16r2="http://schemas.microsoft.com/office/drawing/2015/06/chart">
            <c:ext xmlns:c16="http://schemas.microsoft.com/office/drawing/2014/chart" uri="{C3380CC4-5D6E-409C-BE32-E72D297353CC}">
              <c16:uniqueId val="{00000000-25EF-4166-B6BA-9F9B12D85B32}"/>
            </c:ext>
          </c:extLst>
        </c:ser>
        <c:ser>
          <c:idx val="1"/>
          <c:order val="1"/>
          <c:tx>
            <c:strRef>
              <c:f>'Место Округа'!$E$35</c:f>
              <c:strCache>
                <c:ptCount val="1"/>
                <c:pt idx="0">
                  <c:v>Доля в ФОТ</c:v>
                </c:pt>
              </c:strCache>
            </c:strRef>
          </c:tx>
          <c:spPr>
            <a:solidFill>
              <a:schemeClr val="accent2"/>
            </a:solidFill>
            <a:ln>
              <a:noFill/>
            </a:ln>
            <a:effectLst/>
          </c:spPr>
          <c:invertIfNegative val="0"/>
          <c:cat>
            <c:strRef>
              <c:f>'Место Округа'!$A$36:$A$44</c:f>
              <c:strCache>
                <c:ptCount val="9"/>
                <c:pt idx="0">
                  <c:v>Сельское хозяйство</c:v>
                </c:pt>
                <c:pt idx="1">
                  <c:v>Обрабатывающие производства </c:v>
                </c:pt>
                <c:pt idx="2">
                  <c:v>ЖКХ
</c:v>
                </c:pt>
                <c:pt idx="3">
                  <c:v> Оптово-розничная торговля</c:v>
                </c:pt>
                <c:pt idx="4">
                  <c:v>Деятельность гостиниц и предприятий 
общественного питания
</c:v>
                </c:pt>
                <c:pt idx="5">
                  <c:v>Государственное управлени</c:v>
                </c:pt>
                <c:pt idx="6">
                  <c:v>Образование </c:v>
                </c:pt>
                <c:pt idx="7">
                  <c:v>Здравоохранение 
</c:v>
                </c:pt>
                <c:pt idx="8">
                  <c:v>Культура и спорт
</c:v>
                </c:pt>
              </c:strCache>
            </c:strRef>
          </c:cat>
          <c:val>
            <c:numRef>
              <c:f>'Место Округа'!$E$36:$E$44</c:f>
              <c:numCache>
                <c:formatCode>General</c:formatCode>
                <c:ptCount val="9"/>
                <c:pt idx="0">
                  <c:v>36.247407988550307</c:v>
                </c:pt>
                <c:pt idx="1">
                  <c:v>0.95892984929577196</c:v>
                </c:pt>
                <c:pt idx="2">
                  <c:v>3.884539807012203</c:v>
                </c:pt>
                <c:pt idx="3">
                  <c:v>1.2195493941754703</c:v>
                </c:pt>
                <c:pt idx="4">
                  <c:v>0.28522039494354157</c:v>
                </c:pt>
                <c:pt idx="5">
                  <c:v>11.494819637487485</c:v>
                </c:pt>
                <c:pt idx="6">
                  <c:v>19.095002900856588</c:v>
                </c:pt>
                <c:pt idx="7">
                  <c:v>15.892347412197996</c:v>
                </c:pt>
                <c:pt idx="8">
                  <c:v>2.5975782880492639</c:v>
                </c:pt>
              </c:numCache>
            </c:numRef>
          </c:val>
          <c:extLst xmlns:c16r2="http://schemas.microsoft.com/office/drawing/2015/06/chart">
            <c:ext xmlns:c16="http://schemas.microsoft.com/office/drawing/2014/chart" uri="{C3380CC4-5D6E-409C-BE32-E72D297353CC}">
              <c16:uniqueId val="{00000001-25EF-4166-B6BA-9F9B12D85B32}"/>
            </c:ext>
          </c:extLst>
        </c:ser>
        <c:dLbls>
          <c:showLegendKey val="0"/>
          <c:showVal val="0"/>
          <c:showCatName val="0"/>
          <c:showSerName val="0"/>
          <c:showPercent val="0"/>
          <c:showBubbleSize val="0"/>
        </c:dLbls>
        <c:gapWidth val="219"/>
        <c:overlap val="-27"/>
        <c:axId val="163127312"/>
        <c:axId val="163127704"/>
      </c:barChart>
      <c:catAx>
        <c:axId val="16312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27704"/>
        <c:crosses val="autoZero"/>
        <c:auto val="1"/>
        <c:lblAlgn val="ctr"/>
        <c:lblOffset val="100"/>
        <c:noMultiLvlLbl val="0"/>
      </c:catAx>
      <c:valAx>
        <c:axId val="16312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27312"/>
        <c:crosses val="autoZero"/>
        <c:crossBetween val="between"/>
      </c:valAx>
      <c:spPr>
        <a:noFill/>
        <a:ln>
          <a:noFill/>
        </a:ln>
        <a:effectLst/>
      </c:spPr>
    </c:plotArea>
    <c:legend>
      <c:legendPos val="b"/>
      <c:layout>
        <c:manualLayout>
          <c:xMode val="edge"/>
          <c:yMode val="edge"/>
          <c:x val="0.58021319109304892"/>
          <c:y val="0.91724482356372106"/>
          <c:w val="0.2997886715773431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Услуги!$A$34</c:f>
              <c:strCache>
                <c:ptCount val="1"/>
                <c:pt idx="0">
                  <c:v>Объем платных услуг населению, млн. руб.</c:v>
                </c:pt>
              </c:strCache>
            </c:strRef>
          </c:tx>
          <c:spPr>
            <a:ln w="28575" cap="rnd">
              <a:solidFill>
                <a:schemeClr val="accent1"/>
              </a:solidFill>
              <a:round/>
            </a:ln>
            <a:effectLst/>
          </c:spPr>
          <c:marker>
            <c:symbol val="none"/>
          </c:marker>
          <c:cat>
            <c:strRef>
              <c:f>Услуги!$B$33:$F$33</c:f>
              <c:strCache>
                <c:ptCount val="5"/>
                <c:pt idx="0">
                  <c:v>2015 г.</c:v>
                </c:pt>
                <c:pt idx="1">
                  <c:v>2016 г.</c:v>
                </c:pt>
                <c:pt idx="2">
                  <c:v>2017 г.</c:v>
                </c:pt>
                <c:pt idx="3">
                  <c:v>2018 г.</c:v>
                </c:pt>
                <c:pt idx="4">
                  <c:v>2019 г.</c:v>
                </c:pt>
              </c:strCache>
            </c:strRef>
          </c:cat>
          <c:val>
            <c:numRef>
              <c:f>Услуги!$B$34:$F$34</c:f>
              <c:numCache>
                <c:formatCode>General</c:formatCode>
                <c:ptCount val="5"/>
                <c:pt idx="0">
                  <c:v>477.4</c:v>
                </c:pt>
                <c:pt idx="1">
                  <c:v>514.5</c:v>
                </c:pt>
                <c:pt idx="2">
                  <c:v>539.20000000000005</c:v>
                </c:pt>
                <c:pt idx="3">
                  <c:v>539.4</c:v>
                </c:pt>
                <c:pt idx="4">
                  <c:v>545.6</c:v>
                </c:pt>
              </c:numCache>
            </c:numRef>
          </c:val>
          <c:smooth val="0"/>
          <c:extLst xmlns:c16r2="http://schemas.microsoft.com/office/drawing/2015/06/chart">
            <c:ext xmlns:c16="http://schemas.microsoft.com/office/drawing/2014/chart" uri="{C3380CC4-5D6E-409C-BE32-E72D297353CC}">
              <c16:uniqueId val="{00000000-F876-4BFA-B466-F651191E12B3}"/>
            </c:ext>
          </c:extLst>
        </c:ser>
        <c:dLbls>
          <c:showLegendKey val="0"/>
          <c:showVal val="0"/>
          <c:showCatName val="0"/>
          <c:showSerName val="0"/>
          <c:showPercent val="0"/>
          <c:showBubbleSize val="0"/>
        </c:dLbls>
        <c:smooth val="0"/>
        <c:axId val="373776576"/>
        <c:axId val="373776968"/>
      </c:lineChart>
      <c:catAx>
        <c:axId val="3737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6968"/>
        <c:crosses val="autoZero"/>
        <c:auto val="1"/>
        <c:lblAlgn val="ctr"/>
        <c:lblOffset val="100"/>
        <c:noMultiLvlLbl val="0"/>
      </c:catAx>
      <c:valAx>
        <c:axId val="37377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B143-4D45-AC2E-627AB2F46B04}"/>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B143-4D45-AC2E-627AB2F46B04}"/>
              </c:ext>
            </c:extLst>
          </c:dPt>
          <c:cat>
            <c:strRef>
              <c:f>'На душу населения районы'!$E$81:$E$86</c:f>
              <c:strCache>
                <c:ptCount val="6"/>
                <c:pt idx="0">
                  <c:v>Кочубеевский </c:v>
                </c:pt>
                <c:pt idx="1">
                  <c:v>Александровский </c:v>
                </c:pt>
                <c:pt idx="2">
                  <c:v>Будённовский </c:v>
                </c:pt>
                <c:pt idx="3">
                  <c:v>Красногвардейский </c:v>
                </c:pt>
                <c:pt idx="4">
                  <c:v>Предгорный</c:v>
                </c:pt>
                <c:pt idx="5">
                  <c:v>Труновский </c:v>
                </c:pt>
              </c:strCache>
            </c:strRef>
          </c:cat>
          <c:val>
            <c:numRef>
              <c:f>'На душу населения районы'!$F$81:$F$86</c:f>
              <c:numCache>
                <c:formatCode>0.0</c:formatCode>
                <c:ptCount val="6"/>
                <c:pt idx="0">
                  <c:v>25.438173339765235</c:v>
                </c:pt>
                <c:pt idx="1">
                  <c:v>23.275503730118796</c:v>
                </c:pt>
                <c:pt idx="2">
                  <c:v>30.957214035272717</c:v>
                </c:pt>
                <c:pt idx="3">
                  <c:v>16.227619408232815</c:v>
                </c:pt>
                <c:pt idx="4">
                  <c:v>30.474683544303797</c:v>
                </c:pt>
                <c:pt idx="5">
                  <c:v>17.918486649807875</c:v>
                </c:pt>
              </c:numCache>
            </c:numRef>
          </c:val>
          <c:extLst xmlns:c16r2="http://schemas.microsoft.com/office/drawing/2015/06/chart">
            <c:ext xmlns:c16="http://schemas.microsoft.com/office/drawing/2014/chart" uri="{C3380CC4-5D6E-409C-BE32-E72D297353CC}">
              <c16:uniqueId val="{00000002-B143-4D45-AC2E-627AB2F46B04}"/>
            </c:ext>
          </c:extLst>
        </c:ser>
        <c:dLbls>
          <c:showLegendKey val="0"/>
          <c:showVal val="0"/>
          <c:showCatName val="0"/>
          <c:showSerName val="0"/>
          <c:showPercent val="0"/>
          <c:showBubbleSize val="0"/>
        </c:dLbls>
        <c:gapWidth val="150"/>
        <c:shape val="box"/>
        <c:axId val="373777752"/>
        <c:axId val="373778144"/>
        <c:axId val="0"/>
      </c:bar3DChart>
      <c:catAx>
        <c:axId val="373777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8144"/>
        <c:crosses val="autoZero"/>
        <c:auto val="1"/>
        <c:lblAlgn val="ctr"/>
        <c:lblOffset val="100"/>
        <c:noMultiLvlLbl val="0"/>
      </c:catAx>
      <c:valAx>
        <c:axId val="373778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Услуги!$A$38</c:f>
              <c:strCache>
                <c:ptCount val="1"/>
                <c:pt idx="0">
                  <c:v>Оборот розничной торговли, млн. руб.</c:v>
                </c:pt>
              </c:strCache>
            </c:strRef>
          </c:tx>
          <c:spPr>
            <a:solidFill>
              <a:schemeClr val="accent1"/>
            </a:solidFill>
            <a:ln>
              <a:noFill/>
            </a:ln>
            <a:effectLst/>
            <a:sp3d/>
          </c:spPr>
          <c:invertIfNegative val="0"/>
          <c:cat>
            <c:strRef>
              <c:f>Услуги!$B$37:$G$37</c:f>
              <c:strCache>
                <c:ptCount val="6"/>
                <c:pt idx="0">
                  <c:v>2014 г.</c:v>
                </c:pt>
                <c:pt idx="1">
                  <c:v>2015 г.</c:v>
                </c:pt>
                <c:pt idx="2">
                  <c:v>2016 г.</c:v>
                </c:pt>
                <c:pt idx="3">
                  <c:v>2017 г.</c:v>
                </c:pt>
                <c:pt idx="4">
                  <c:v>2018 г.</c:v>
                </c:pt>
                <c:pt idx="5">
                  <c:v>2019 г.</c:v>
                </c:pt>
              </c:strCache>
            </c:strRef>
          </c:cat>
          <c:val>
            <c:numRef>
              <c:f>Услуги!$B$38:$G$38</c:f>
              <c:numCache>
                <c:formatCode>General</c:formatCode>
                <c:ptCount val="6"/>
                <c:pt idx="0">
                  <c:v>912.6</c:v>
                </c:pt>
                <c:pt idx="1">
                  <c:v>972.6</c:v>
                </c:pt>
                <c:pt idx="2">
                  <c:v>867.4</c:v>
                </c:pt>
                <c:pt idx="3">
                  <c:v>1127.3</c:v>
                </c:pt>
                <c:pt idx="4">
                  <c:v>1272.2</c:v>
                </c:pt>
                <c:pt idx="5">
                  <c:v>1410.6</c:v>
                </c:pt>
              </c:numCache>
            </c:numRef>
          </c:val>
          <c:extLst xmlns:c16r2="http://schemas.microsoft.com/office/drawing/2015/06/chart">
            <c:ext xmlns:c16="http://schemas.microsoft.com/office/drawing/2014/chart" uri="{C3380CC4-5D6E-409C-BE32-E72D297353CC}">
              <c16:uniqueId val="{00000000-400A-4DC9-8557-32C4D0865D41}"/>
            </c:ext>
          </c:extLst>
        </c:ser>
        <c:dLbls>
          <c:showLegendKey val="0"/>
          <c:showVal val="0"/>
          <c:showCatName val="0"/>
          <c:showSerName val="0"/>
          <c:showPercent val="0"/>
          <c:showBubbleSize val="0"/>
        </c:dLbls>
        <c:gapWidth val="150"/>
        <c:shape val="box"/>
        <c:axId val="373779320"/>
        <c:axId val="373839288"/>
        <c:axId val="0"/>
      </c:bar3DChart>
      <c:catAx>
        <c:axId val="373779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39288"/>
        <c:crosses val="autoZero"/>
        <c:auto val="1"/>
        <c:lblAlgn val="ctr"/>
        <c:lblOffset val="100"/>
        <c:noMultiLvlLbl val="0"/>
      </c:catAx>
      <c:valAx>
        <c:axId val="37383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779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5A10-4AAA-816E-D408899A32F7}"/>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5A10-4AAA-816E-D408899A32F7}"/>
              </c:ext>
            </c:extLst>
          </c:dPt>
          <c:cat>
            <c:strRef>
              <c:f>'На душу населения районы'!$E$72:$E$77</c:f>
              <c:strCache>
                <c:ptCount val="6"/>
                <c:pt idx="0">
                  <c:v>Кочубеевский </c:v>
                </c:pt>
                <c:pt idx="1">
                  <c:v>Александровский </c:v>
                </c:pt>
                <c:pt idx="2">
                  <c:v>Будённовский </c:v>
                </c:pt>
                <c:pt idx="3">
                  <c:v>Красногвардейский </c:v>
                </c:pt>
                <c:pt idx="4">
                  <c:v>Предгорный </c:v>
                </c:pt>
                <c:pt idx="5">
                  <c:v>Труновский</c:v>
                </c:pt>
              </c:strCache>
            </c:strRef>
          </c:cat>
          <c:val>
            <c:numRef>
              <c:f>'На душу населения районы'!$F$72:$F$77</c:f>
              <c:numCache>
                <c:formatCode>0.0</c:formatCode>
                <c:ptCount val="6"/>
                <c:pt idx="0">
                  <c:v>60.098086509085064</c:v>
                </c:pt>
                <c:pt idx="1">
                  <c:v>41.350718676847002</c:v>
                </c:pt>
                <c:pt idx="2">
                  <c:v>58.448668265977723</c:v>
                </c:pt>
                <c:pt idx="3">
                  <c:v>40.182290258019151</c:v>
                </c:pt>
                <c:pt idx="4">
                  <c:v>134.04701627486438</c:v>
                </c:pt>
                <c:pt idx="5">
                  <c:v>46.326644553187293</c:v>
                </c:pt>
              </c:numCache>
            </c:numRef>
          </c:val>
          <c:extLst xmlns:c16r2="http://schemas.microsoft.com/office/drawing/2015/06/chart">
            <c:ext xmlns:c16="http://schemas.microsoft.com/office/drawing/2014/chart" uri="{C3380CC4-5D6E-409C-BE32-E72D297353CC}">
              <c16:uniqueId val="{00000002-5A10-4AAA-816E-D408899A32F7}"/>
            </c:ext>
          </c:extLst>
        </c:ser>
        <c:dLbls>
          <c:showLegendKey val="0"/>
          <c:showVal val="0"/>
          <c:showCatName val="0"/>
          <c:showSerName val="0"/>
          <c:showPercent val="0"/>
          <c:showBubbleSize val="0"/>
        </c:dLbls>
        <c:gapWidth val="150"/>
        <c:shape val="box"/>
        <c:axId val="373839680"/>
        <c:axId val="373840072"/>
        <c:axId val="0"/>
      </c:bar3DChart>
      <c:catAx>
        <c:axId val="373839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40072"/>
        <c:crosses val="autoZero"/>
        <c:auto val="1"/>
        <c:lblAlgn val="ctr"/>
        <c:lblOffset val="100"/>
        <c:noMultiLvlLbl val="0"/>
      </c:catAx>
      <c:valAx>
        <c:axId val="373840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39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Потребность!$R$9</c:f>
              <c:strCache>
                <c:ptCount val="1"/>
                <c:pt idx="0">
                  <c:v>г. Кисловодск</c:v>
                </c:pt>
              </c:strCache>
            </c:strRef>
          </c:tx>
          <c:spPr>
            <a:ln>
              <a:solidFill>
                <a:schemeClr val="accent3">
                  <a:lumMod val="60000"/>
                  <a:lumOff val="40000"/>
                </a:schemeClr>
              </a:solidFill>
            </a:ln>
          </c:spPr>
          <c:marker>
            <c:symbol val="none"/>
          </c:marker>
          <c:cat>
            <c:numRef>
              <c:f>Потребность!$S$8:$Y$8</c:f>
              <c:numCache>
                <c:formatCode>General</c:formatCode>
                <c:ptCount val="7"/>
                <c:pt idx="0">
                  <c:v>2013</c:v>
                </c:pt>
                <c:pt idx="1">
                  <c:v>2014</c:v>
                </c:pt>
                <c:pt idx="2">
                  <c:v>2015</c:v>
                </c:pt>
                <c:pt idx="3">
                  <c:v>2016</c:v>
                </c:pt>
                <c:pt idx="4">
                  <c:v>2017</c:v>
                </c:pt>
                <c:pt idx="5">
                  <c:v>2018</c:v>
                </c:pt>
                <c:pt idx="6">
                  <c:v>2019</c:v>
                </c:pt>
              </c:numCache>
            </c:numRef>
          </c:cat>
          <c:val>
            <c:numRef>
              <c:f>Потребность!$S$9:$Y$9</c:f>
              <c:numCache>
                <c:formatCode>General</c:formatCode>
                <c:ptCount val="7"/>
                <c:pt idx="0">
                  <c:v>2.6</c:v>
                </c:pt>
                <c:pt idx="1">
                  <c:v>3.1</c:v>
                </c:pt>
                <c:pt idx="2">
                  <c:v>1.5</c:v>
                </c:pt>
                <c:pt idx="3">
                  <c:v>2.5</c:v>
                </c:pt>
                <c:pt idx="4">
                  <c:v>2.2000000000000002</c:v>
                </c:pt>
                <c:pt idx="5">
                  <c:v>2.2000000000000002</c:v>
                </c:pt>
                <c:pt idx="6">
                  <c:v>2</c:v>
                </c:pt>
              </c:numCache>
            </c:numRef>
          </c:val>
          <c:smooth val="0"/>
        </c:ser>
        <c:ser>
          <c:idx val="1"/>
          <c:order val="1"/>
          <c:tx>
            <c:strRef>
              <c:f>Потребность!$R$10</c:f>
              <c:strCache>
                <c:ptCount val="1"/>
                <c:pt idx="0">
                  <c:v>Советский ГО</c:v>
                </c:pt>
              </c:strCache>
            </c:strRef>
          </c:tx>
          <c:spPr>
            <a:ln>
              <a:solidFill>
                <a:schemeClr val="accent4">
                  <a:lumMod val="40000"/>
                  <a:lumOff val="60000"/>
                </a:schemeClr>
              </a:solidFill>
            </a:ln>
          </c:spPr>
          <c:marker>
            <c:symbol val="none"/>
          </c:marker>
          <c:cat>
            <c:numRef>
              <c:f>Потребность!$S$8:$Y$8</c:f>
              <c:numCache>
                <c:formatCode>General</c:formatCode>
                <c:ptCount val="7"/>
                <c:pt idx="0">
                  <c:v>2013</c:v>
                </c:pt>
                <c:pt idx="1">
                  <c:v>2014</c:v>
                </c:pt>
                <c:pt idx="2">
                  <c:v>2015</c:v>
                </c:pt>
                <c:pt idx="3">
                  <c:v>2016</c:v>
                </c:pt>
                <c:pt idx="4">
                  <c:v>2017</c:v>
                </c:pt>
                <c:pt idx="5">
                  <c:v>2018</c:v>
                </c:pt>
                <c:pt idx="6">
                  <c:v>2019</c:v>
                </c:pt>
              </c:numCache>
            </c:numRef>
          </c:cat>
          <c:val>
            <c:numRef>
              <c:f>Потребность!$S$10:$Y$10</c:f>
              <c:numCache>
                <c:formatCode>General</c:formatCode>
                <c:ptCount val="7"/>
                <c:pt idx="0">
                  <c:v>5.7</c:v>
                </c:pt>
                <c:pt idx="1">
                  <c:v>5.7</c:v>
                </c:pt>
                <c:pt idx="2">
                  <c:v>4.5999999999999996</c:v>
                </c:pt>
                <c:pt idx="3">
                  <c:v>4.5</c:v>
                </c:pt>
                <c:pt idx="4">
                  <c:v>4.5</c:v>
                </c:pt>
                <c:pt idx="5">
                  <c:v>5.2</c:v>
                </c:pt>
                <c:pt idx="6">
                  <c:v>5.2</c:v>
                </c:pt>
              </c:numCache>
            </c:numRef>
          </c:val>
          <c:smooth val="0"/>
        </c:ser>
        <c:ser>
          <c:idx val="2"/>
          <c:order val="2"/>
          <c:tx>
            <c:strRef>
              <c:f>Потребность!$R$11</c:f>
              <c:strCache>
                <c:ptCount val="1"/>
                <c:pt idx="0">
                  <c:v>Труновский МО</c:v>
                </c:pt>
              </c:strCache>
            </c:strRef>
          </c:tx>
          <c:spPr>
            <a:ln cmpd="sng">
              <a:solidFill>
                <a:srgbClr val="C72727"/>
              </a:solidFill>
              <a:prstDash val="lgDash"/>
            </a:ln>
          </c:spPr>
          <c:marker>
            <c:symbol val="none"/>
          </c:marker>
          <c:dPt>
            <c:idx val="5"/>
            <c:bubble3D val="0"/>
          </c:dPt>
          <c:cat>
            <c:numRef>
              <c:f>Потребность!$S$8:$Y$8</c:f>
              <c:numCache>
                <c:formatCode>General</c:formatCode>
                <c:ptCount val="7"/>
                <c:pt idx="0">
                  <c:v>2013</c:v>
                </c:pt>
                <c:pt idx="1">
                  <c:v>2014</c:v>
                </c:pt>
                <c:pt idx="2">
                  <c:v>2015</c:v>
                </c:pt>
                <c:pt idx="3">
                  <c:v>2016</c:v>
                </c:pt>
                <c:pt idx="4">
                  <c:v>2017</c:v>
                </c:pt>
                <c:pt idx="5">
                  <c:v>2018</c:v>
                </c:pt>
                <c:pt idx="6">
                  <c:v>2019</c:v>
                </c:pt>
              </c:numCache>
            </c:numRef>
          </c:cat>
          <c:val>
            <c:numRef>
              <c:f>Потребность!$S$11:$Y$11</c:f>
              <c:numCache>
                <c:formatCode>General</c:formatCode>
                <c:ptCount val="7"/>
                <c:pt idx="0">
                  <c:v>4.5999999999999996</c:v>
                </c:pt>
                <c:pt idx="1">
                  <c:v>4.3</c:v>
                </c:pt>
                <c:pt idx="2">
                  <c:v>4.0999999999999996</c:v>
                </c:pt>
                <c:pt idx="3">
                  <c:v>5.0999999999999996</c:v>
                </c:pt>
                <c:pt idx="4">
                  <c:v>4.8</c:v>
                </c:pt>
                <c:pt idx="5">
                  <c:v>4.8</c:v>
                </c:pt>
                <c:pt idx="6">
                  <c:v>5</c:v>
                </c:pt>
              </c:numCache>
            </c:numRef>
          </c:val>
          <c:smooth val="0"/>
        </c:ser>
        <c:ser>
          <c:idx val="3"/>
          <c:order val="3"/>
          <c:tx>
            <c:strRef>
              <c:f>Потребность!$R$12</c:f>
              <c:strCache>
                <c:ptCount val="1"/>
                <c:pt idx="0">
                  <c:v>Ставропольский край</c:v>
                </c:pt>
              </c:strCache>
            </c:strRef>
          </c:tx>
          <c:spPr>
            <a:ln>
              <a:solidFill>
                <a:schemeClr val="accent5">
                  <a:lumMod val="60000"/>
                  <a:lumOff val="40000"/>
                </a:schemeClr>
              </a:solidFill>
            </a:ln>
          </c:spPr>
          <c:marker>
            <c:symbol val="none"/>
          </c:marker>
          <c:cat>
            <c:numRef>
              <c:f>Потребность!$S$8:$Y$8</c:f>
              <c:numCache>
                <c:formatCode>General</c:formatCode>
                <c:ptCount val="7"/>
                <c:pt idx="0">
                  <c:v>2013</c:v>
                </c:pt>
                <c:pt idx="1">
                  <c:v>2014</c:v>
                </c:pt>
                <c:pt idx="2">
                  <c:v>2015</c:v>
                </c:pt>
                <c:pt idx="3">
                  <c:v>2016</c:v>
                </c:pt>
                <c:pt idx="4">
                  <c:v>2017</c:v>
                </c:pt>
                <c:pt idx="5">
                  <c:v>2018</c:v>
                </c:pt>
                <c:pt idx="6">
                  <c:v>2019</c:v>
                </c:pt>
              </c:numCache>
            </c:numRef>
          </c:cat>
          <c:val>
            <c:numRef>
              <c:f>Потребность!$S$12:$Y$12</c:f>
              <c:numCache>
                <c:formatCode>General</c:formatCode>
                <c:ptCount val="7"/>
                <c:pt idx="0">
                  <c:v>3.9</c:v>
                </c:pt>
                <c:pt idx="1">
                  <c:v>4.0999999999999996</c:v>
                </c:pt>
                <c:pt idx="2">
                  <c:v>3.8</c:v>
                </c:pt>
                <c:pt idx="3">
                  <c:v>4.2</c:v>
                </c:pt>
                <c:pt idx="4">
                  <c:v>3.7</c:v>
                </c:pt>
                <c:pt idx="5">
                  <c:v>3.8</c:v>
                </c:pt>
                <c:pt idx="6">
                  <c:v>3.5</c:v>
                </c:pt>
              </c:numCache>
            </c:numRef>
          </c:val>
          <c:smooth val="0"/>
        </c:ser>
        <c:dLbls>
          <c:showLegendKey val="0"/>
          <c:showVal val="0"/>
          <c:showCatName val="0"/>
          <c:showSerName val="0"/>
          <c:showPercent val="0"/>
          <c:showBubbleSize val="0"/>
        </c:dLbls>
        <c:smooth val="0"/>
        <c:axId val="373840856"/>
        <c:axId val="373841248"/>
      </c:lineChart>
      <c:catAx>
        <c:axId val="37384085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3841248"/>
        <c:crosses val="autoZero"/>
        <c:auto val="1"/>
        <c:lblAlgn val="ctr"/>
        <c:lblOffset val="100"/>
        <c:noMultiLvlLbl val="0"/>
      </c:catAx>
      <c:valAx>
        <c:axId val="373841248"/>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3840856"/>
        <c:crosses val="autoZero"/>
        <c:crossBetween val="between"/>
      </c:valAx>
    </c:plotArea>
    <c:legend>
      <c:legendPos val="r"/>
      <c:layout>
        <c:manualLayout>
          <c:xMode val="edge"/>
          <c:yMode val="edge"/>
          <c:x val="0.70507526881720439"/>
          <c:y val="0.2827839238550855"/>
          <c:w val="0.28202150537634407"/>
          <c:h val="0.36850716765502234"/>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Жилье!$H$2</c:f>
              <c:strCache>
                <c:ptCount val="1"/>
                <c:pt idx="0">
                  <c:v>Объем жилищного фонда</c:v>
                </c:pt>
              </c:strCache>
            </c:strRef>
          </c:tx>
          <c:spPr>
            <a:ln>
              <a:solidFill>
                <a:schemeClr val="accent5"/>
              </a:solidFill>
              <a:round/>
            </a:ln>
            <a:effectLst>
              <a:outerShdw blurRad="304800" sx="106000" sy="106000" algn="ctr" rotWithShape="0">
                <a:schemeClr val="tx1">
                  <a:alpha val="13000"/>
                </a:schemeClr>
              </a:outerShdw>
            </a:effectLst>
          </c:spPr>
          <c:dPt>
            <c:idx val="3"/>
            <c:bubble3D val="0"/>
          </c:dPt>
          <c:dLbls>
            <c:dLbl>
              <c:idx val="0"/>
              <c:layout>
                <c:manualLayout>
                  <c:x val="1.638001638001638E-2"/>
                  <c:y val="-9.25925925925917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520065520066123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520065520066721E-3"/>
                  <c:y val="5.09259259259259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76003276003276E-2"/>
                  <c:y val="5.0925561388159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Жилье!$I$1:$L$1</c:f>
              <c:numCache>
                <c:formatCode>General</c:formatCode>
                <c:ptCount val="4"/>
                <c:pt idx="0">
                  <c:v>2015</c:v>
                </c:pt>
                <c:pt idx="1">
                  <c:v>2017</c:v>
                </c:pt>
                <c:pt idx="2">
                  <c:v>2018</c:v>
                </c:pt>
                <c:pt idx="3">
                  <c:v>2019</c:v>
                </c:pt>
              </c:numCache>
            </c:numRef>
          </c:cat>
          <c:val>
            <c:numRef>
              <c:f>Жилье!$I$2:$L$2</c:f>
              <c:numCache>
                <c:formatCode>General</c:formatCode>
                <c:ptCount val="4"/>
                <c:pt idx="0">
                  <c:v>702.3</c:v>
                </c:pt>
                <c:pt idx="1">
                  <c:v>771.9</c:v>
                </c:pt>
                <c:pt idx="2">
                  <c:v>773</c:v>
                </c:pt>
                <c:pt idx="3">
                  <c:v>774.5</c:v>
                </c:pt>
              </c:numCache>
            </c:numRef>
          </c:val>
          <c:smooth val="0"/>
        </c:ser>
        <c:dLbls>
          <c:showLegendKey val="0"/>
          <c:showVal val="0"/>
          <c:showCatName val="0"/>
          <c:showSerName val="0"/>
          <c:showPercent val="0"/>
          <c:showBubbleSize val="0"/>
        </c:dLbls>
        <c:marker val="1"/>
        <c:smooth val="0"/>
        <c:axId val="373842032"/>
        <c:axId val="373842424"/>
      </c:lineChart>
      <c:catAx>
        <c:axId val="37384203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3842424"/>
        <c:crosses val="autoZero"/>
        <c:auto val="1"/>
        <c:lblAlgn val="ctr"/>
        <c:lblOffset val="100"/>
        <c:noMultiLvlLbl val="0"/>
      </c:catAx>
      <c:valAx>
        <c:axId val="373842424"/>
        <c:scaling>
          <c:orientation val="minMax"/>
          <c:min val="690"/>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38420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333333333333329E-2"/>
          <c:y val="0.11342592592592593"/>
          <c:w val="0.46388888888888891"/>
          <c:h val="0.77314814814814814"/>
        </c:manualLayout>
      </c:layout>
      <c:pieChart>
        <c:varyColors val="1"/>
        <c:ser>
          <c:idx val="0"/>
          <c:order val="0"/>
          <c:dPt>
            <c:idx val="0"/>
            <c:bubble3D val="0"/>
          </c:dPt>
          <c:dPt>
            <c:idx val="1"/>
            <c:bubble3D val="0"/>
          </c:dPt>
          <c:dPt>
            <c:idx val="2"/>
            <c:bubble3D val="0"/>
          </c:dPt>
          <c:dLbls>
            <c:dLbl>
              <c:idx val="0"/>
              <c:layout>
                <c:manualLayout>
                  <c:x val="-5.6802879877168536E-3"/>
                  <c:y val="-1.1836886717313561E-2"/>
                </c:manualLayout>
              </c:layout>
              <c:tx>
                <c:rich>
                  <a:bodyPr/>
                  <a:lstStyle/>
                  <a:p>
                    <a:r>
                      <a:rPr lang="en-US"/>
                      <a:t>502</a:t>
                    </a:r>
                    <a:r>
                      <a:rPr lang="ru-RU"/>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2095899079808752E-3"/>
                  <c:y val="1.93206349550947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169918977519114E-2"/>
                  <c:y val="1.2947813898835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Жилье!$A$28:$A$30</c:f>
              <c:strCache>
                <c:ptCount val="3"/>
                <c:pt idx="0">
                  <c:v>Общая площадь жилых помещений в жилых домах (индивидуально-определенных зданиях)</c:v>
                </c:pt>
                <c:pt idx="1">
                  <c:v>Общая площадь  жилых помещений в многоквартирных жилых домах</c:v>
                </c:pt>
                <c:pt idx="2">
                  <c:v>Общая площадь жилых помещений в жилых домах блокированной застройки</c:v>
                </c:pt>
              </c:strCache>
            </c:strRef>
          </c:cat>
          <c:val>
            <c:numRef>
              <c:f>Жилье!$B$28:$B$30</c:f>
              <c:numCache>
                <c:formatCode>General</c:formatCode>
                <c:ptCount val="3"/>
                <c:pt idx="0">
                  <c:v>502</c:v>
                </c:pt>
                <c:pt idx="1">
                  <c:v>272.5</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ayout>
        <c:manualLayout>
          <c:xMode val="edge"/>
          <c:yMode val="edge"/>
          <c:x val="0.64082288132955711"/>
          <c:y val="0.25730973124720996"/>
          <c:w val="0.32210651087968845"/>
          <c:h val="0.47650206514883314"/>
        </c:manualLayout>
      </c:layout>
      <c:overlay val="0"/>
      <c:txPr>
        <a:bodyPr/>
        <a:lstStyle/>
        <a:p>
          <a:pPr>
            <a:defRPr sz="1100">
              <a:latin typeface="Arial Narrow" panose="020B0606020202030204" pitchFamily="34"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Жилье!$A$63</c:f>
              <c:strCache>
                <c:ptCount val="1"/>
                <c:pt idx="0">
                  <c:v>Введено в действие жилых домов, тыс. кв. м</c:v>
                </c:pt>
              </c:strCache>
            </c:strRef>
          </c:tx>
          <c:spPr>
            <a:solidFill>
              <a:srgbClr val="8FAADF"/>
            </a:solidFill>
            <a:effectLst>
              <a:outerShdw blurRad="419100" dist="25400" dir="18420000" sx="94000" sy="94000" algn="ctr" rotWithShape="0">
                <a:srgbClr val="000000">
                  <a:alpha val="3000"/>
                </a:srgbClr>
              </a:outerShdw>
            </a:effectLst>
          </c:spPr>
          <c:invertIfNegative val="0"/>
          <c:dLbls>
            <c:spPr>
              <a:noFill/>
              <a:ln>
                <a:noFill/>
              </a:ln>
              <a:effectLst/>
            </c:spPr>
            <c:txPr>
              <a:bodyPr/>
              <a:lstStyle/>
              <a:p>
                <a:pPr>
                  <a:defRPr sz="1100" b="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Жилье!$B$62:$F$62</c:f>
              <c:numCache>
                <c:formatCode>General</c:formatCode>
                <c:ptCount val="5"/>
                <c:pt idx="0">
                  <c:v>2015</c:v>
                </c:pt>
                <c:pt idx="1">
                  <c:v>2016</c:v>
                </c:pt>
                <c:pt idx="2">
                  <c:v>2017</c:v>
                </c:pt>
                <c:pt idx="3">
                  <c:v>2018</c:v>
                </c:pt>
                <c:pt idx="4">
                  <c:v>2019</c:v>
                </c:pt>
              </c:numCache>
            </c:numRef>
          </c:cat>
          <c:val>
            <c:numRef>
              <c:f>Жилье!$B$63:$F$63</c:f>
              <c:numCache>
                <c:formatCode>General</c:formatCode>
                <c:ptCount val="5"/>
                <c:pt idx="0">
                  <c:v>4.5</c:v>
                </c:pt>
                <c:pt idx="1">
                  <c:v>5.0999999999999996</c:v>
                </c:pt>
                <c:pt idx="2">
                  <c:v>3.6</c:v>
                </c:pt>
                <c:pt idx="3">
                  <c:v>1.2</c:v>
                </c:pt>
                <c:pt idx="4">
                  <c:v>1.4</c:v>
                </c:pt>
              </c:numCache>
            </c:numRef>
          </c:val>
        </c:ser>
        <c:dLbls>
          <c:showLegendKey val="0"/>
          <c:showVal val="0"/>
          <c:showCatName val="0"/>
          <c:showSerName val="0"/>
          <c:showPercent val="0"/>
          <c:showBubbleSize val="0"/>
        </c:dLbls>
        <c:gapWidth val="150"/>
        <c:axId val="368158400"/>
        <c:axId val="368158792"/>
      </c:barChart>
      <c:catAx>
        <c:axId val="36815840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68158792"/>
        <c:crosses val="autoZero"/>
        <c:auto val="1"/>
        <c:lblAlgn val="ctr"/>
        <c:lblOffset val="100"/>
        <c:noMultiLvlLbl val="0"/>
      </c:catAx>
      <c:valAx>
        <c:axId val="368158792"/>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68158400"/>
        <c:crosses val="autoZero"/>
        <c:crossBetween val="between"/>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ТКО!$A$2</c:f>
              <c:strCache>
                <c:ptCount val="1"/>
                <c:pt idx="0">
                  <c:v>Объем образующихся ТКО IV-V классов опасности, м3 /год</c:v>
                </c:pt>
              </c:strCache>
            </c:strRef>
          </c:tx>
          <c:spPr>
            <a:ln>
              <a:solidFill>
                <a:srgbClr val="C00000"/>
              </a:solidFill>
            </a:ln>
            <a:effectLst>
              <a:outerShdw blurRad="165100" dist="50800" dir="5820000" sx="107000" sy="107000" algn="ctr" rotWithShape="0">
                <a:srgbClr val="000000">
                  <a:alpha val="22000"/>
                </a:srgbClr>
              </a:outerShdw>
            </a:effectLst>
          </c:spPr>
          <c:marker>
            <c:symbol val="none"/>
          </c:marker>
          <c:cat>
            <c:numRef>
              <c:f>ТКО!$B$1:$M$1</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ТКО!$B$2:$M$2</c:f>
              <c:numCache>
                <c:formatCode>General</c:formatCode>
                <c:ptCount val="12"/>
                <c:pt idx="0">
                  <c:v>86444</c:v>
                </c:pt>
                <c:pt idx="1">
                  <c:v>86830</c:v>
                </c:pt>
                <c:pt idx="2">
                  <c:v>87137</c:v>
                </c:pt>
                <c:pt idx="3">
                  <c:v>87404</c:v>
                </c:pt>
                <c:pt idx="4">
                  <c:v>87653</c:v>
                </c:pt>
                <c:pt idx="5">
                  <c:v>87890</c:v>
                </c:pt>
                <c:pt idx="6">
                  <c:v>88118</c:v>
                </c:pt>
                <c:pt idx="7">
                  <c:v>88324</c:v>
                </c:pt>
                <c:pt idx="8">
                  <c:v>88505</c:v>
                </c:pt>
                <c:pt idx="9">
                  <c:v>88670</c:v>
                </c:pt>
                <c:pt idx="10">
                  <c:v>88822</c:v>
                </c:pt>
                <c:pt idx="11">
                  <c:v>88964</c:v>
                </c:pt>
              </c:numCache>
            </c:numRef>
          </c:val>
          <c:smooth val="0"/>
        </c:ser>
        <c:dLbls>
          <c:showLegendKey val="0"/>
          <c:showVal val="0"/>
          <c:showCatName val="0"/>
          <c:showSerName val="0"/>
          <c:showPercent val="0"/>
          <c:showBubbleSize val="0"/>
        </c:dLbls>
        <c:smooth val="0"/>
        <c:axId val="374767816"/>
        <c:axId val="374768208"/>
      </c:lineChart>
      <c:catAx>
        <c:axId val="37476781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4768208"/>
        <c:crosses val="autoZero"/>
        <c:auto val="1"/>
        <c:lblAlgn val="ctr"/>
        <c:lblOffset val="100"/>
        <c:noMultiLvlLbl val="0"/>
      </c:catAx>
      <c:valAx>
        <c:axId val="374768208"/>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7476781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79188315746216E-3"/>
          <c:y val="0.12284629793084965"/>
          <c:w val="0.97930901494456046"/>
          <c:h val="0.52857979323061854"/>
        </c:manualLayout>
      </c:layout>
      <c:pie3DChart>
        <c:varyColors val="1"/>
        <c:ser>
          <c:idx val="0"/>
          <c:order val="0"/>
          <c:tx>
            <c:strRef>
              <c:f>Бюджет!$A$60</c:f>
              <c:strCache>
                <c:ptCount val="1"/>
                <c:pt idx="0">
                  <c:v>Структура доходов бюджета,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8F0-4E53-B36B-8462DE9AAFD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8F0-4E53-B36B-8462DE9AAFD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Бюджет!$A$62:$A$63</c:f>
              <c:strCache>
                <c:ptCount val="2"/>
                <c:pt idx="0">
                  <c:v>Налоговые и неналоговые доходы</c:v>
                </c:pt>
                <c:pt idx="1">
                  <c:v>Безвозмездные поступления</c:v>
                </c:pt>
              </c:strCache>
            </c:strRef>
          </c:cat>
          <c:val>
            <c:numRef>
              <c:f>Бюджет!$C$62:$C$63</c:f>
              <c:numCache>
                <c:formatCode>0</c:formatCode>
                <c:ptCount val="2"/>
                <c:pt idx="0">
                  <c:v>17.995887890920898</c:v>
                </c:pt>
                <c:pt idx="1">
                  <c:v>82.004112109079102</c:v>
                </c:pt>
              </c:numCache>
            </c:numRef>
          </c:val>
          <c:extLst xmlns:c16r2="http://schemas.microsoft.com/office/drawing/2015/06/chart">
            <c:ext xmlns:c16="http://schemas.microsoft.com/office/drawing/2014/chart" uri="{C3380CC4-5D6E-409C-BE32-E72D297353CC}">
              <c16:uniqueId val="{00000004-28F0-4E53-B36B-8462DE9AAFD8}"/>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7416447944007003E-2"/>
          <c:y val="0.72684417737256524"/>
          <c:w val="0.93627799650043741"/>
          <c:h val="0.245377814615278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35920509936257"/>
          <c:y val="0.12628593839563157"/>
          <c:w val="0.3967204099487564"/>
          <c:h val="0.7182007421486107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FB-495F-84DF-FA953D726A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FB-495F-84DF-FA953D726A34}"/>
              </c:ext>
            </c:extLst>
          </c:dPt>
          <c:dLbls>
            <c:dLbl>
              <c:idx val="0"/>
              <c:layout>
                <c:manualLayout>
                  <c:x val="5.0793650793650794E-2"/>
                  <c:y val="-0.1379310344827586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7FB-495F-84DF-FA953D726A34}"/>
                </c:ext>
                <c:ext xmlns:c15="http://schemas.microsoft.com/office/drawing/2012/chart" uri="{CE6537A1-D6FC-4f65-9D91-7224C49458BB}"/>
              </c:extLst>
            </c:dLbl>
            <c:dLbl>
              <c:idx val="1"/>
              <c:layout>
                <c:manualLayout>
                  <c:x val="-0.11428571428571428"/>
                  <c:y val="6.38722554890219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7FB-495F-84DF-FA953D726A3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Бюджет!$A$67:$A$68</c:f>
              <c:strCache>
                <c:ptCount val="2"/>
                <c:pt idx="0">
                  <c:v>Налоговые доходы</c:v>
                </c:pt>
                <c:pt idx="1">
                  <c:v>Неналоговые доходы</c:v>
                </c:pt>
              </c:strCache>
            </c:strRef>
          </c:cat>
          <c:val>
            <c:numRef>
              <c:f>Бюджет!$C$67:$C$68</c:f>
              <c:numCache>
                <c:formatCode>0</c:formatCode>
                <c:ptCount val="2"/>
                <c:pt idx="0">
                  <c:v>84.966927239927841</c:v>
                </c:pt>
                <c:pt idx="1">
                  <c:v>15.033072760072159</c:v>
                </c:pt>
              </c:numCache>
            </c:numRef>
          </c:val>
          <c:extLst xmlns:c16r2="http://schemas.microsoft.com/office/drawing/2015/06/chart">
            <c:ext xmlns:c16="http://schemas.microsoft.com/office/drawing/2014/chart" uri="{C3380CC4-5D6E-409C-BE32-E72D297353CC}">
              <c16:uniqueId val="{00000004-67FB-495F-84DF-FA953D726A3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
          <c:y val="0.8251787492080731"/>
          <c:w val="0.99271965597134237"/>
          <c:h val="0.159495580293842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55205599300086"/>
          <c:y val="4.6296296296296294E-3"/>
          <c:w val="0.62377077865266839"/>
          <c:h val="0.99537037037037035"/>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60-4663-A485-36C89CDB2DB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60-4663-A485-36C89CDB2DB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260-4663-A485-36C89CDB2DB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260-4663-A485-36C89CDB2DB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260-4663-A485-36C89CDB2DB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260-4663-A485-36C89CDB2DBA}"/>
              </c:ext>
            </c:extLst>
          </c:dPt>
          <c:dLbls>
            <c:dLbl>
              <c:idx val="0"/>
              <c:layout>
                <c:manualLayout>
                  <c:x val="8.6111111111111208E-2"/>
                  <c:y val="6.944444444444428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260-4663-A485-36C89CDB2DBA}"/>
                </c:ext>
                <c:ext xmlns:c15="http://schemas.microsoft.com/office/drawing/2012/chart" uri="{CE6537A1-D6FC-4f65-9D91-7224C49458BB}"/>
              </c:extLst>
            </c:dLbl>
            <c:dLbl>
              <c:idx val="1"/>
              <c:layout>
                <c:manualLayout>
                  <c:x val="7.4999999999999997E-2"/>
                  <c:y val="0.1574074074074074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260-4663-A485-36C89CDB2DBA}"/>
                </c:ext>
                <c:ext xmlns:c15="http://schemas.microsoft.com/office/drawing/2012/chart" uri="{CE6537A1-D6FC-4f65-9D91-7224C49458BB}"/>
              </c:extLst>
            </c:dLbl>
            <c:dLbl>
              <c:idx val="2"/>
              <c:layout>
                <c:manualLayout>
                  <c:x val="-0.12500000000000003"/>
                  <c:y val="1.38888888888888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260-4663-A485-36C89CDB2DBA}"/>
                </c:ext>
                <c:ext xmlns:c15="http://schemas.microsoft.com/office/drawing/2012/chart" uri="{CE6537A1-D6FC-4f65-9D91-7224C49458BB}"/>
              </c:extLst>
            </c:dLbl>
            <c:dLbl>
              <c:idx val="3"/>
              <c:layout>
                <c:manualLayout>
                  <c:x val="-0.15277777777777779"/>
                  <c:y val="-3.703703703703704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260-4663-A485-36C89CDB2DBA}"/>
                </c:ext>
                <c:ext xmlns:c15="http://schemas.microsoft.com/office/drawing/2012/chart" uri="{CE6537A1-D6FC-4f65-9D91-7224C49458BB}"/>
              </c:extLst>
            </c:dLbl>
            <c:dLbl>
              <c:idx val="4"/>
              <c:layout>
                <c:manualLayout>
                  <c:x val="3.2119205298013237E-2"/>
                  <c:y val="0.1990310077519379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260-4663-A485-36C89CDB2DBA}"/>
                </c:ext>
                <c:ext xmlns:c15="http://schemas.microsoft.com/office/drawing/2012/chart" uri="{CE6537A1-D6FC-4f65-9D91-7224C49458BB}">
                  <c15:layout>
                    <c:manualLayout>
                      <c:w val="0.23225634875110809"/>
                      <c:h val="0.17301593114814137"/>
                    </c:manualLayout>
                  </c15:layout>
                </c:ext>
              </c:extLst>
            </c:dLbl>
            <c:dLbl>
              <c:idx val="5"/>
              <c:layout>
                <c:manualLayout>
                  <c:x val="0.37227755470963481"/>
                  <c:y val="1.860465116279069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8260-4663-A485-36C89CDB2DBA}"/>
                </c:ext>
                <c:ext xmlns:c15="http://schemas.microsoft.com/office/drawing/2012/chart" uri="{CE6537A1-D6FC-4f65-9D91-7224C49458BB}"/>
              </c:extLst>
            </c:dLbl>
            <c:numFmt formatCode="#,##0.00\ %"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Бюджет!$A$73:$A$78</c:f>
              <c:strCache>
                <c:ptCount val="6"/>
                <c:pt idx="0">
                  <c:v>НДФЛ</c:v>
                </c:pt>
                <c:pt idx="1">
                  <c:v>ЕНВД</c:v>
                </c:pt>
                <c:pt idx="2">
                  <c:v>Акцизы</c:v>
                </c:pt>
                <c:pt idx="3">
                  <c:v>ЕСХН</c:v>
                </c:pt>
                <c:pt idx="4">
                  <c:v>Госпошлина</c:v>
                </c:pt>
                <c:pt idx="5">
                  <c:v>Налог по патентной системе налогообложения</c:v>
                </c:pt>
              </c:strCache>
            </c:strRef>
          </c:cat>
          <c:val>
            <c:numRef>
              <c:f>Бюджет!$C$73:$C$78</c:f>
              <c:numCache>
                <c:formatCode>0.00</c:formatCode>
                <c:ptCount val="6"/>
                <c:pt idx="0">
                  <c:v>79.547062986553428</c:v>
                </c:pt>
                <c:pt idx="1">
                  <c:v>5.1663128096249107</c:v>
                </c:pt>
                <c:pt idx="2">
                  <c:v>3.6093418259023347</c:v>
                </c:pt>
                <c:pt idx="3">
                  <c:v>9.2710544939844297</c:v>
                </c:pt>
                <c:pt idx="4">
                  <c:v>2.335456475583864</c:v>
                </c:pt>
                <c:pt idx="5">
                  <c:v>7.0771408351026188E-2</c:v>
                </c:pt>
              </c:numCache>
            </c:numRef>
          </c:val>
          <c:extLst xmlns:c16r2="http://schemas.microsoft.com/office/drawing/2015/06/chart">
            <c:ext xmlns:c16="http://schemas.microsoft.com/office/drawing/2014/chart" uri="{C3380CC4-5D6E-409C-BE32-E72D297353CC}">
              <c16:uniqueId val="{0000000C-8260-4663-A485-36C89CDB2DBA}"/>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50000000000001"/>
          <c:y val="0.21527777777777779"/>
          <c:w val="0.46388888888888891"/>
          <c:h val="0.7731481481481481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0F-431F-AB41-18EFF717C2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0F-431F-AB41-18EFF717C2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0F-431F-AB41-18EFF717C2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40F-431F-AB41-18EFF717C25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40F-431F-AB41-18EFF717C25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40F-431F-AB41-18EFF717C259}"/>
              </c:ext>
            </c:extLst>
          </c:dPt>
          <c:dLbls>
            <c:dLbl>
              <c:idx val="0"/>
              <c:layout>
                <c:manualLayout>
                  <c:x val="0.154496469713861"/>
                  <c:y val="0.2175925925925925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40F-431F-AB41-18EFF717C259}"/>
                </c:ext>
                <c:ext xmlns:c15="http://schemas.microsoft.com/office/drawing/2012/chart" uri="{CE6537A1-D6FC-4f65-9D91-7224C49458BB}">
                  <c15:layout>
                    <c:manualLayout>
                      <c:w val="0.23141214371614915"/>
                      <c:h val="0.42184752487334432"/>
                    </c:manualLayout>
                  </c15:layout>
                </c:ext>
              </c:extLst>
            </c:dLbl>
            <c:dLbl>
              <c:idx val="1"/>
              <c:layout>
                <c:manualLayout>
                  <c:x val="-0.15240017327931099"/>
                  <c:y val="5.887908197521821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40F-431F-AB41-18EFF717C259}"/>
                </c:ext>
                <c:ext xmlns:c15="http://schemas.microsoft.com/office/drawing/2012/chart" uri="{CE6537A1-D6FC-4f65-9D91-7224C49458BB}">
                  <c15:layout>
                    <c:manualLayout>
                      <c:w val="0.28703446049826298"/>
                      <c:h val="0.30668717573094062"/>
                    </c:manualLayout>
                  </c15:layout>
                </c:ext>
              </c:extLst>
            </c:dLbl>
            <c:dLbl>
              <c:idx val="2"/>
              <c:layout>
                <c:manualLayout>
                  <c:x val="0.13001622370019272"/>
                  <c:y val="0.2048235365928096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40F-431F-AB41-18EFF717C259}"/>
                </c:ext>
                <c:ext xmlns:c15="http://schemas.microsoft.com/office/drawing/2012/chart" uri="{CE6537A1-D6FC-4f65-9D91-7224C49458BB}"/>
              </c:extLst>
            </c:dLbl>
            <c:dLbl>
              <c:idx val="3"/>
              <c:layout>
                <c:manualLayout>
                  <c:x val="-6.0929783442621469E-2"/>
                  <c:y val="-0.188328877494964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40F-431F-AB41-18EFF717C259}"/>
                </c:ext>
                <c:ext xmlns:c15="http://schemas.microsoft.com/office/drawing/2012/chart" uri="{CE6537A1-D6FC-4f65-9D91-7224C49458BB}">
                  <c15:spPr xmlns:c15="http://schemas.microsoft.com/office/drawing/2012/chart">
                    <a:prstGeom prst="wedgeRectCallout">
                      <a:avLst/>
                    </a:prstGeom>
                  </c15:spPr>
                  <c15:layout>
                    <c:manualLayout>
                      <c:w val="0.59278785803948419"/>
                      <c:h val="0.21639064884331319"/>
                    </c:manualLayout>
                  </c15:layout>
                </c:ext>
              </c:extLst>
            </c:dLbl>
            <c:dLbl>
              <c:idx val="4"/>
              <c:layout>
                <c:manualLayout>
                  <c:x val="-0.3342368203422571"/>
                  <c:y val="0.159162058231093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40F-431F-AB41-18EFF717C259}"/>
                </c:ext>
                <c:ext xmlns:c15="http://schemas.microsoft.com/office/drawing/2012/chart" uri="{CE6537A1-D6FC-4f65-9D91-7224C49458BB}">
                  <c15:spPr xmlns:c15="http://schemas.microsoft.com/office/drawing/2012/chart">
                    <a:prstGeom prst="wedgeRectCallout">
                      <a:avLst/>
                    </a:prstGeom>
                  </c15:spPr>
                  <c15:layout>
                    <c:manualLayout>
                      <c:w val="0.2184070195109106"/>
                      <c:h val="0.52258414209851678"/>
                    </c:manualLayout>
                  </c15:layout>
                </c:ext>
              </c:extLst>
            </c:dLbl>
            <c:dLbl>
              <c:idx val="5"/>
              <c:layout>
                <c:manualLayout>
                  <c:x val="0.28688208288345229"/>
                  <c:y val="-4.629628273210036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40F-431F-AB41-18EFF717C259}"/>
                </c:ext>
                <c:ext xmlns:c15="http://schemas.microsoft.com/office/drawing/2012/chart" uri="{CE6537A1-D6FC-4f65-9D91-7224C49458BB}">
                  <c15:layout>
                    <c:manualLayout>
                      <c:w val="0.24933961850086464"/>
                      <c:h val="0.3066871757309406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Бюджет!$A$91:$A$96</c:f>
              <c:strCache>
                <c:ptCount val="6"/>
                <c:pt idx="0">
                  <c:v>Доходы от использования имущества</c:v>
                </c:pt>
                <c:pt idx="1">
                  <c:v>Доходы от оказания платных услуг</c:v>
                </c:pt>
                <c:pt idx="2">
                  <c:v>Штрафы</c:v>
                </c:pt>
                <c:pt idx="3">
                  <c:v>Плата за негативное воздействие на окружающую среду</c:v>
                </c:pt>
                <c:pt idx="4">
                  <c:v>Доходы от продажи материальных и нематериальных активов</c:v>
                </c:pt>
                <c:pt idx="5">
                  <c:v>Прочие неналоговые доходы</c:v>
                </c:pt>
              </c:strCache>
            </c:strRef>
          </c:cat>
          <c:val>
            <c:numRef>
              <c:f>Бюджет!$C$91:$C$96</c:f>
              <c:numCache>
                <c:formatCode>General</c:formatCode>
                <c:ptCount val="6"/>
                <c:pt idx="0">
                  <c:v>43.599999999999994</c:v>
                </c:pt>
                <c:pt idx="1">
                  <c:v>40.79999999999999</c:v>
                </c:pt>
                <c:pt idx="2">
                  <c:v>13.199999999999998</c:v>
                </c:pt>
                <c:pt idx="3">
                  <c:v>0.4</c:v>
                </c:pt>
                <c:pt idx="4">
                  <c:v>1.2</c:v>
                </c:pt>
                <c:pt idx="5">
                  <c:v>0.8</c:v>
                </c:pt>
              </c:numCache>
            </c:numRef>
          </c:val>
          <c:extLst xmlns:c16r2="http://schemas.microsoft.com/office/drawing/2015/06/chart">
            <c:ext xmlns:c16="http://schemas.microsoft.com/office/drawing/2014/chart" uri="{C3380CC4-5D6E-409C-BE32-E72D297353CC}">
              <c16:uniqueId val="{0000000C-E40F-431F-AB41-18EFF717C259}"/>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33819609758083"/>
          <c:y val="5.7291666666666664E-2"/>
          <c:w val="0.75442586671299361"/>
          <c:h val="0.55187664041994755"/>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DE7D-488A-A6F8-6395A9F8A991}"/>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0A73-40D2-94BB-D914270BF797}"/>
              </c:ext>
            </c:extLst>
          </c:dPt>
          <c:cat>
            <c:strRef>
              <c:f>'На душу населения районы'!$A$17:$A$22</c:f>
              <c:strCache>
                <c:ptCount val="6"/>
                <c:pt idx="0">
                  <c:v>Кочубеевский </c:v>
                </c:pt>
                <c:pt idx="1">
                  <c:v>Александровский </c:v>
                </c:pt>
                <c:pt idx="2">
                  <c:v>Будённовский </c:v>
                </c:pt>
                <c:pt idx="3">
                  <c:v>Красногвардейский </c:v>
                </c:pt>
                <c:pt idx="4">
                  <c:v>Предгорный </c:v>
                </c:pt>
                <c:pt idx="5">
                  <c:v>Труновский </c:v>
                </c:pt>
              </c:strCache>
            </c:strRef>
          </c:cat>
          <c:val>
            <c:numRef>
              <c:f>'На душу населения районы'!$B$17:$B$22</c:f>
              <c:numCache>
                <c:formatCode>0.0</c:formatCode>
                <c:ptCount val="6"/>
                <c:pt idx="0">
                  <c:v>18.570777724178594</c:v>
                </c:pt>
                <c:pt idx="1">
                  <c:v>19.891049902644994</c:v>
                </c:pt>
                <c:pt idx="2">
                  <c:v>16.967635919472052</c:v>
                </c:pt>
                <c:pt idx="3">
                  <c:v>23.037810353221182</c:v>
                </c:pt>
                <c:pt idx="4">
                  <c:v>11.638336347197107</c:v>
                </c:pt>
                <c:pt idx="5">
                  <c:v>22.539328056750634</c:v>
                </c:pt>
              </c:numCache>
            </c:numRef>
          </c:val>
          <c:extLst xmlns:c16r2="http://schemas.microsoft.com/office/drawing/2015/06/chart">
            <c:ext xmlns:c16="http://schemas.microsoft.com/office/drawing/2014/chart" uri="{C3380CC4-5D6E-409C-BE32-E72D297353CC}">
              <c16:uniqueId val="{00000002-DE7D-488A-A6F8-6395A9F8A991}"/>
            </c:ext>
          </c:extLst>
        </c:ser>
        <c:dLbls>
          <c:showLegendKey val="0"/>
          <c:showVal val="0"/>
          <c:showCatName val="0"/>
          <c:showSerName val="0"/>
          <c:showPercent val="0"/>
          <c:showBubbleSize val="0"/>
        </c:dLbls>
        <c:gapWidth val="150"/>
        <c:shape val="box"/>
        <c:axId val="367497672"/>
        <c:axId val="367498456"/>
        <c:axId val="0"/>
      </c:bar3DChart>
      <c:catAx>
        <c:axId val="367497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498456"/>
        <c:crosses val="autoZero"/>
        <c:auto val="1"/>
        <c:lblAlgn val="ctr"/>
        <c:lblOffset val="100"/>
        <c:noMultiLvlLbl val="0"/>
      </c:catAx>
      <c:valAx>
        <c:axId val="367498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497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4E1E-40B7-8830-31301C781997}"/>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9483-4688-8A9D-3311603C0A52}"/>
              </c:ext>
            </c:extLst>
          </c:dPt>
          <c:cat>
            <c:strRef>
              <c:f>'На душу населения районы'!$A$25:$A$30</c:f>
              <c:strCache>
                <c:ptCount val="6"/>
                <c:pt idx="0">
                  <c:v>Кочубеевский </c:v>
                </c:pt>
                <c:pt idx="1">
                  <c:v>Александровский </c:v>
                </c:pt>
                <c:pt idx="2">
                  <c:v>Будённовский </c:v>
                </c:pt>
                <c:pt idx="3">
                  <c:v>Красногвардейский </c:v>
                </c:pt>
                <c:pt idx="4">
                  <c:v>Предгорный </c:v>
                </c:pt>
                <c:pt idx="5">
                  <c:v>Труновский </c:v>
                </c:pt>
              </c:strCache>
            </c:strRef>
          </c:cat>
          <c:val>
            <c:numRef>
              <c:f>'На душу населения районы'!$B$25:$B$30</c:f>
              <c:numCache>
                <c:formatCode>0.0</c:formatCode>
                <c:ptCount val="6"/>
                <c:pt idx="0">
                  <c:v>62.058928891277091</c:v>
                </c:pt>
                <c:pt idx="1">
                  <c:v>62.137780207763804</c:v>
                </c:pt>
                <c:pt idx="2">
                  <c:v>60.412364683061135</c:v>
                </c:pt>
                <c:pt idx="3">
                  <c:v>65.442532267977867</c:v>
                </c:pt>
                <c:pt idx="4">
                  <c:v>52.376302083333336</c:v>
                </c:pt>
                <c:pt idx="5">
                  <c:v>63.084842356834272</c:v>
                </c:pt>
              </c:numCache>
            </c:numRef>
          </c:val>
          <c:extLst xmlns:c16r2="http://schemas.microsoft.com/office/drawing/2015/06/chart">
            <c:ext xmlns:c16="http://schemas.microsoft.com/office/drawing/2014/chart" uri="{C3380CC4-5D6E-409C-BE32-E72D297353CC}">
              <c16:uniqueId val="{00000002-4E1E-40B7-8830-31301C781997}"/>
            </c:ext>
          </c:extLst>
        </c:ser>
        <c:dLbls>
          <c:showLegendKey val="0"/>
          <c:showVal val="0"/>
          <c:showCatName val="0"/>
          <c:showSerName val="0"/>
          <c:showPercent val="0"/>
          <c:showBubbleSize val="0"/>
        </c:dLbls>
        <c:gapWidth val="150"/>
        <c:shape val="box"/>
        <c:axId val="367499240"/>
        <c:axId val="367499632"/>
        <c:axId val="0"/>
      </c:bar3DChart>
      <c:catAx>
        <c:axId val="367499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499632"/>
        <c:crosses val="autoZero"/>
        <c:auto val="1"/>
        <c:lblAlgn val="ctr"/>
        <c:lblOffset val="100"/>
        <c:noMultiLvlLbl val="0"/>
      </c:catAx>
      <c:valAx>
        <c:axId val="367499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499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38888888888891"/>
          <c:y val="0.21064814814814814"/>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81-4D55-9FFA-DB58B4AE6E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81-4D55-9FFA-DB58B4AE6E0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81-4D55-9FFA-DB58B4AE6E0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081-4D55-9FFA-DB58B4AE6E0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081-4D55-9FFA-DB58B4AE6E0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081-4D55-9FFA-DB58B4AE6E0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081-4D55-9FFA-DB58B4AE6E0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081-4D55-9FFA-DB58B4AE6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'муниц прог'!$B$17:$B$24</c:f>
              <c:strCache>
                <c:ptCount val="8"/>
                <c:pt idx="0">
                  <c:v>Развитие образования</c:v>
                </c:pt>
                <c:pt idx="1">
                  <c:v>Социальная поддержка граждан</c:v>
                </c:pt>
                <c:pt idx="2">
                  <c:v>Развитие экономического потенциала</c:v>
                </c:pt>
                <c:pt idx="3">
                  <c:v>Развитие физической культуры</c:v>
                </c:pt>
                <c:pt idx="4">
                  <c:v>Сохранение и развитие культуры</c:v>
                </c:pt>
                <c:pt idx="5">
                  <c:v>Обеспечение безопасности</c:v>
                </c:pt>
                <c:pt idx="6">
                  <c:v>Развитие транспортной системы</c:v>
                </c:pt>
                <c:pt idx="7">
                  <c:v>Развитие сельского хозяйства</c:v>
                </c:pt>
              </c:strCache>
            </c:strRef>
          </c:cat>
          <c:val>
            <c:numRef>
              <c:f>'муниц прог'!$D$17:$D$24</c:f>
              <c:numCache>
                <c:formatCode>0.00</c:formatCode>
                <c:ptCount val="8"/>
                <c:pt idx="0">
                  <c:v>69.937243622502663</c:v>
                </c:pt>
                <c:pt idx="1">
                  <c:v>23.35690366978854</c:v>
                </c:pt>
                <c:pt idx="2">
                  <c:v>1.0182055612866387</c:v>
                </c:pt>
                <c:pt idx="3">
                  <c:v>0.21812192741491096</c:v>
                </c:pt>
                <c:pt idx="4">
                  <c:v>3.7788525516696216</c:v>
                </c:pt>
                <c:pt idx="5">
                  <c:v>0.48070331081553369</c:v>
                </c:pt>
                <c:pt idx="6">
                  <c:v>0.56368600315014739</c:v>
                </c:pt>
                <c:pt idx="7">
                  <c:v>0.6462833533719361</c:v>
                </c:pt>
              </c:numCache>
            </c:numRef>
          </c:val>
          <c:extLst xmlns:c16r2="http://schemas.microsoft.com/office/drawing/2015/06/chart">
            <c:ext xmlns:c16="http://schemas.microsoft.com/office/drawing/2014/chart" uri="{C3380CC4-5D6E-409C-BE32-E72D297353CC}">
              <c16:uniqueId val="{00000010-E081-4D55-9FFA-DB58B4AE6E0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465</TotalTime>
  <Pages>315</Pages>
  <Words>97647</Words>
  <Characters>556591</Characters>
  <Application>Microsoft Office Word</Application>
  <DocSecurity>0</DocSecurity>
  <Lines>4638</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TOPUZLEEVAON</dc:creator>
  <cp:lastModifiedBy>PC</cp:lastModifiedBy>
  <cp:revision>23</cp:revision>
  <dcterms:created xsi:type="dcterms:W3CDTF">2022-02-11T05:57:00Z</dcterms:created>
  <dcterms:modified xsi:type="dcterms:W3CDTF">2022-02-25T06:29:00Z</dcterms:modified>
</cp:coreProperties>
</file>